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841" w:rsidRPr="00485A4C" w:rsidRDefault="00F32841" w:rsidP="00F32841">
      <w:pPr>
        <w:pStyle w:val="Header"/>
        <w:rPr>
          <w:rFonts w:ascii="Tahoma" w:hAnsi="Tahoma" w:cs="Tahoma"/>
          <w:lang w:val="en-US"/>
        </w:rPr>
      </w:pPr>
    </w:p>
    <w:p w:rsidR="00F32841" w:rsidRPr="00485A4C" w:rsidRDefault="00F32841" w:rsidP="00F32841">
      <w:pPr>
        <w:pStyle w:val="Header"/>
        <w:ind w:firstLine="2410"/>
        <w:rPr>
          <w:rFonts w:ascii="Tahoma" w:hAnsi="Tahoma" w:cs="Tahoma"/>
          <w:highlight w:val="red"/>
        </w:rPr>
      </w:pPr>
    </w:p>
    <w:p w:rsidR="00F32841" w:rsidRPr="00485A4C" w:rsidRDefault="00D94651" w:rsidP="00F32841">
      <w:pPr>
        <w:pStyle w:val="Header"/>
        <w:tabs>
          <w:tab w:val="center" w:pos="4536"/>
        </w:tabs>
        <w:ind w:left="1701"/>
        <w:rPr>
          <w:rFonts w:ascii="Tahoma" w:hAnsi="Tahoma" w:cs="Tahoma"/>
          <w:spacing w:val="20"/>
          <w:highlight w:val="red"/>
          <w:lang w:val="en-US"/>
        </w:rPr>
      </w:pPr>
      <w:r w:rsidRPr="00226AE1">
        <w:rPr>
          <w:b/>
          <w:bCs/>
          <w:noProof/>
          <w:spacing w:val="20"/>
        </w:rPr>
        <w:drawing>
          <wp:inline distT="0" distB="0" distL="0" distR="0" wp14:anchorId="5D699F01" wp14:editId="3805C60D">
            <wp:extent cx="3181985" cy="193103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985" cy="1931035"/>
                    </a:xfrm>
                    <a:prstGeom prst="rect">
                      <a:avLst/>
                    </a:prstGeom>
                    <a:noFill/>
                    <a:ln>
                      <a:noFill/>
                    </a:ln>
                  </pic:spPr>
                </pic:pic>
              </a:graphicData>
            </a:graphic>
          </wp:inline>
        </w:drawing>
      </w:r>
    </w:p>
    <w:p w:rsidR="00F32841" w:rsidRPr="00485A4C" w:rsidRDefault="00F32841" w:rsidP="00F32841">
      <w:pPr>
        <w:spacing w:before="120" w:line="360" w:lineRule="auto"/>
        <w:jc w:val="center"/>
        <w:rPr>
          <w:rFonts w:ascii="Tahoma" w:hAnsi="Tahoma" w:cs="Tahoma"/>
          <w:b/>
          <w:bCs/>
          <w:spacing w:val="20"/>
          <w:highlight w:val="red"/>
        </w:rPr>
      </w:pPr>
    </w:p>
    <w:p w:rsidR="00F32841" w:rsidRPr="00485A4C" w:rsidRDefault="00F32841" w:rsidP="00F32841">
      <w:pPr>
        <w:spacing w:before="120" w:line="360" w:lineRule="auto"/>
        <w:jc w:val="center"/>
        <w:rPr>
          <w:rFonts w:ascii="Tahoma" w:hAnsi="Tahoma" w:cs="Tahoma"/>
          <w:b/>
          <w:bCs/>
          <w:spacing w:val="20"/>
          <w:sz w:val="36"/>
          <w:szCs w:val="36"/>
          <w:highlight w:val="red"/>
        </w:rPr>
      </w:pPr>
      <w:r w:rsidRPr="00485A4C">
        <w:rPr>
          <w:rFonts w:ascii="Tahoma" w:hAnsi="Tahoma" w:cs="Tahoma"/>
          <w:b/>
          <w:bCs/>
          <w:spacing w:val="20"/>
          <w:sz w:val="36"/>
          <w:szCs w:val="36"/>
          <w:highlight w:val="red"/>
        </w:rPr>
        <w:t xml:space="preserve"> </w:t>
      </w:r>
    </w:p>
    <w:p w:rsidR="00F32841" w:rsidRPr="00485A4C" w:rsidRDefault="00145C22" w:rsidP="00F32841">
      <w:pPr>
        <w:spacing w:before="120" w:line="360" w:lineRule="auto"/>
        <w:jc w:val="center"/>
        <w:rPr>
          <w:rFonts w:ascii="Tahoma" w:hAnsi="Tahoma" w:cs="Tahoma"/>
          <w:b/>
          <w:bCs/>
          <w:spacing w:val="20"/>
          <w:sz w:val="40"/>
          <w:szCs w:val="40"/>
        </w:rPr>
      </w:pPr>
      <w:r w:rsidRPr="00485A4C">
        <w:rPr>
          <w:rFonts w:ascii="Tahoma" w:hAnsi="Tahoma" w:cs="Tahoma"/>
          <w:b/>
          <w:bCs/>
          <w:spacing w:val="20"/>
          <w:sz w:val="40"/>
          <w:szCs w:val="40"/>
        </w:rPr>
        <w:t>ΠΕΠΟΝΟΠΟΥΛΟΣ Α.Ε.</w:t>
      </w:r>
      <w:r w:rsidR="00F32841" w:rsidRPr="00485A4C">
        <w:rPr>
          <w:rFonts w:ascii="Tahoma" w:hAnsi="Tahoma" w:cs="Tahoma"/>
          <w:b/>
          <w:bCs/>
          <w:spacing w:val="20"/>
          <w:sz w:val="40"/>
          <w:szCs w:val="40"/>
        </w:rPr>
        <w:t xml:space="preserve"> </w:t>
      </w:r>
    </w:p>
    <w:p w:rsidR="00F32841" w:rsidRPr="00485A4C" w:rsidRDefault="00145C22" w:rsidP="00F32841">
      <w:pPr>
        <w:spacing w:before="120" w:line="360" w:lineRule="auto"/>
        <w:jc w:val="center"/>
        <w:rPr>
          <w:rFonts w:ascii="Tahoma" w:hAnsi="Tahoma" w:cs="Tahoma"/>
          <w:b/>
          <w:bCs/>
          <w:spacing w:val="20"/>
          <w:sz w:val="32"/>
          <w:szCs w:val="32"/>
        </w:rPr>
      </w:pPr>
      <w:r w:rsidRPr="00485A4C">
        <w:rPr>
          <w:rFonts w:ascii="Tahoma" w:hAnsi="Tahoma" w:cs="Tahoma"/>
          <w:b/>
          <w:bCs/>
          <w:spacing w:val="20"/>
          <w:sz w:val="32"/>
          <w:szCs w:val="32"/>
        </w:rPr>
        <w:t>ΠΑΓΩΤΑ ΠΗΛΙΟ</w:t>
      </w:r>
      <w:r w:rsidR="00F32841" w:rsidRPr="00485A4C">
        <w:rPr>
          <w:rFonts w:ascii="Tahoma" w:hAnsi="Tahoma" w:cs="Tahoma"/>
          <w:b/>
          <w:bCs/>
          <w:spacing w:val="20"/>
          <w:sz w:val="32"/>
          <w:szCs w:val="32"/>
        </w:rPr>
        <w:t xml:space="preserve"> </w:t>
      </w:r>
    </w:p>
    <w:p w:rsidR="00F32841" w:rsidRPr="00485A4C" w:rsidRDefault="00F32841" w:rsidP="00F32841">
      <w:pPr>
        <w:spacing w:before="120" w:line="360" w:lineRule="auto"/>
        <w:jc w:val="center"/>
        <w:rPr>
          <w:rFonts w:ascii="Tahoma" w:hAnsi="Tahoma" w:cs="Tahoma"/>
          <w:b/>
          <w:bCs/>
          <w:spacing w:val="20"/>
          <w:sz w:val="30"/>
          <w:szCs w:val="30"/>
          <w:highlight w:val="red"/>
        </w:rPr>
      </w:pPr>
    </w:p>
    <w:p w:rsidR="00F32841" w:rsidRPr="00485A4C" w:rsidRDefault="00F32841" w:rsidP="00F32841">
      <w:pPr>
        <w:spacing w:before="120" w:line="360" w:lineRule="auto"/>
        <w:jc w:val="center"/>
        <w:rPr>
          <w:rFonts w:ascii="Tahoma" w:hAnsi="Tahoma" w:cs="Tahoma"/>
          <w:b/>
          <w:bCs/>
          <w:spacing w:val="20"/>
          <w:sz w:val="30"/>
          <w:szCs w:val="30"/>
          <w:highlight w:val="red"/>
        </w:rPr>
      </w:pPr>
    </w:p>
    <w:p w:rsidR="00F32841" w:rsidRPr="00485A4C" w:rsidRDefault="00F32841" w:rsidP="00F32841">
      <w:pPr>
        <w:pStyle w:val="Header"/>
        <w:spacing w:line="360" w:lineRule="auto"/>
        <w:jc w:val="center"/>
        <w:rPr>
          <w:rFonts w:ascii="Tahoma" w:hAnsi="Tahoma" w:cs="Tahoma"/>
          <w:spacing w:val="20"/>
          <w:sz w:val="28"/>
          <w:szCs w:val="28"/>
        </w:rPr>
      </w:pPr>
      <w:r w:rsidRPr="00485A4C">
        <w:rPr>
          <w:rFonts w:ascii="Tahoma" w:hAnsi="Tahoma" w:cs="Tahoma"/>
          <w:spacing w:val="20"/>
          <w:sz w:val="28"/>
          <w:szCs w:val="28"/>
        </w:rPr>
        <w:t xml:space="preserve"> Οικονομικές Καταστάσεις </w:t>
      </w:r>
    </w:p>
    <w:p w:rsidR="00F32841" w:rsidRPr="00485A4C" w:rsidRDefault="00F109F8" w:rsidP="00F32841">
      <w:pPr>
        <w:pStyle w:val="Header"/>
        <w:spacing w:line="360" w:lineRule="auto"/>
        <w:jc w:val="center"/>
        <w:rPr>
          <w:rFonts w:ascii="Tahoma" w:hAnsi="Tahoma" w:cs="Tahoma"/>
          <w:spacing w:val="20"/>
          <w:sz w:val="28"/>
          <w:szCs w:val="28"/>
        </w:rPr>
      </w:pPr>
      <w:r w:rsidRPr="00485A4C">
        <w:rPr>
          <w:rFonts w:ascii="Tahoma" w:hAnsi="Tahoma" w:cs="Tahoma"/>
          <w:spacing w:val="20"/>
          <w:sz w:val="28"/>
          <w:szCs w:val="28"/>
        </w:rPr>
        <w:t>για  τη χρήση 201</w:t>
      </w:r>
      <w:r w:rsidR="00E87405" w:rsidRPr="00485A4C">
        <w:rPr>
          <w:rFonts w:ascii="Tahoma" w:hAnsi="Tahoma" w:cs="Tahoma"/>
          <w:spacing w:val="20"/>
          <w:sz w:val="28"/>
          <w:szCs w:val="28"/>
        </w:rPr>
        <w:t>8</w:t>
      </w:r>
    </w:p>
    <w:p w:rsidR="00F32841" w:rsidRPr="00485A4C" w:rsidRDefault="00F32841" w:rsidP="00F32841">
      <w:pPr>
        <w:pStyle w:val="Header"/>
        <w:spacing w:line="360" w:lineRule="auto"/>
        <w:jc w:val="center"/>
        <w:rPr>
          <w:rFonts w:ascii="Tahoma" w:hAnsi="Tahoma" w:cs="Tahoma"/>
          <w:spacing w:val="20"/>
          <w:sz w:val="28"/>
          <w:szCs w:val="28"/>
        </w:rPr>
      </w:pPr>
      <w:r w:rsidRPr="00485A4C">
        <w:rPr>
          <w:rFonts w:ascii="Tahoma" w:hAnsi="Tahoma" w:cs="Tahoma"/>
          <w:spacing w:val="20"/>
          <w:sz w:val="28"/>
          <w:szCs w:val="28"/>
        </w:rPr>
        <w:t>(από 1</w:t>
      </w:r>
      <w:r w:rsidRPr="00485A4C">
        <w:rPr>
          <w:rFonts w:ascii="Tahoma" w:hAnsi="Tahoma" w:cs="Tahoma"/>
          <w:spacing w:val="20"/>
          <w:sz w:val="28"/>
          <w:szCs w:val="28"/>
          <w:vertAlign w:val="superscript"/>
        </w:rPr>
        <w:t>η</w:t>
      </w:r>
      <w:r w:rsidRPr="00485A4C">
        <w:rPr>
          <w:rFonts w:ascii="Tahoma" w:hAnsi="Tahoma" w:cs="Tahoma"/>
          <w:spacing w:val="20"/>
          <w:sz w:val="28"/>
          <w:szCs w:val="28"/>
        </w:rPr>
        <w:t xml:space="preserve"> Ιανουαρίου έως 31</w:t>
      </w:r>
      <w:r w:rsidRPr="00485A4C">
        <w:rPr>
          <w:rFonts w:ascii="Tahoma" w:hAnsi="Tahoma" w:cs="Tahoma"/>
          <w:spacing w:val="20"/>
          <w:sz w:val="28"/>
          <w:szCs w:val="28"/>
          <w:vertAlign w:val="superscript"/>
        </w:rPr>
        <w:t xml:space="preserve">η </w:t>
      </w:r>
      <w:r w:rsidR="00F109F8" w:rsidRPr="00485A4C">
        <w:rPr>
          <w:rFonts w:ascii="Tahoma" w:hAnsi="Tahoma" w:cs="Tahoma"/>
          <w:spacing w:val="20"/>
          <w:sz w:val="28"/>
          <w:szCs w:val="28"/>
        </w:rPr>
        <w:t>Δεκεμβρίου 201</w:t>
      </w:r>
      <w:r w:rsidR="00E87405" w:rsidRPr="00485A4C">
        <w:rPr>
          <w:rFonts w:ascii="Tahoma" w:hAnsi="Tahoma" w:cs="Tahoma"/>
          <w:spacing w:val="20"/>
          <w:sz w:val="28"/>
          <w:szCs w:val="28"/>
        </w:rPr>
        <w:t>8</w:t>
      </w:r>
      <w:r w:rsidRPr="00485A4C">
        <w:rPr>
          <w:rFonts w:ascii="Tahoma" w:hAnsi="Tahoma" w:cs="Tahoma"/>
          <w:spacing w:val="20"/>
          <w:sz w:val="28"/>
          <w:szCs w:val="28"/>
        </w:rPr>
        <w:t>)</w:t>
      </w:r>
    </w:p>
    <w:p w:rsidR="00F32841" w:rsidRPr="00485A4C" w:rsidRDefault="00F32841" w:rsidP="00F32841">
      <w:pPr>
        <w:pStyle w:val="Header"/>
        <w:tabs>
          <w:tab w:val="right" w:pos="9000"/>
        </w:tabs>
        <w:spacing w:line="360" w:lineRule="auto"/>
        <w:ind w:left="-360" w:right="-337"/>
        <w:jc w:val="center"/>
        <w:rPr>
          <w:rFonts w:ascii="Tahoma" w:hAnsi="Tahoma" w:cs="Tahoma"/>
          <w:spacing w:val="20"/>
          <w:sz w:val="28"/>
          <w:szCs w:val="28"/>
        </w:rPr>
      </w:pPr>
      <w:r w:rsidRPr="00485A4C">
        <w:rPr>
          <w:rFonts w:ascii="Tahoma" w:hAnsi="Tahoma" w:cs="Tahoma"/>
          <w:spacing w:val="20"/>
          <w:sz w:val="28"/>
          <w:szCs w:val="28"/>
        </w:rPr>
        <w:t>με βάση τα Διεθνή Πρότυπα Χρηματοοικονομικής Αναφοράς</w:t>
      </w:r>
    </w:p>
    <w:p w:rsidR="00F32841" w:rsidRPr="00485A4C" w:rsidRDefault="00F32841" w:rsidP="00F32841">
      <w:pPr>
        <w:pStyle w:val="Header"/>
        <w:spacing w:line="360" w:lineRule="auto"/>
        <w:jc w:val="center"/>
        <w:rPr>
          <w:rFonts w:ascii="Tahoma" w:hAnsi="Tahoma" w:cs="Tahoma"/>
          <w:spacing w:val="20"/>
          <w:sz w:val="28"/>
          <w:szCs w:val="28"/>
          <w:highlight w:val="red"/>
        </w:rPr>
      </w:pPr>
    </w:p>
    <w:p w:rsidR="00F32841" w:rsidRPr="00485A4C" w:rsidRDefault="00F32841" w:rsidP="00F32841">
      <w:pPr>
        <w:spacing w:before="120" w:line="360" w:lineRule="auto"/>
        <w:jc w:val="center"/>
        <w:rPr>
          <w:rFonts w:ascii="Tahoma" w:hAnsi="Tahoma" w:cs="Tahoma"/>
          <w:b/>
          <w:bCs/>
          <w:spacing w:val="20"/>
          <w:highlight w:val="red"/>
        </w:rPr>
      </w:pPr>
    </w:p>
    <w:p w:rsidR="00F32841" w:rsidRPr="00485A4C" w:rsidRDefault="00F32841" w:rsidP="00F32841">
      <w:pPr>
        <w:pStyle w:val="Heading7"/>
        <w:jc w:val="right"/>
        <w:rPr>
          <w:rFonts w:ascii="Tahoma" w:hAnsi="Tahoma" w:cs="Tahoma"/>
          <w:spacing w:val="20"/>
          <w:highlight w:val="red"/>
        </w:rPr>
      </w:pPr>
    </w:p>
    <w:p w:rsidR="00F32841" w:rsidRPr="00485A4C" w:rsidRDefault="00F32841" w:rsidP="00F32841">
      <w:pPr>
        <w:tabs>
          <w:tab w:val="right" w:pos="8931"/>
        </w:tabs>
        <w:spacing w:before="120"/>
        <w:ind w:left="4253"/>
        <w:jc w:val="center"/>
        <w:rPr>
          <w:rFonts w:ascii="Tahoma" w:hAnsi="Tahoma" w:cs="Tahoma"/>
          <w:b/>
          <w:spacing w:val="20"/>
          <w:highlight w:val="red"/>
        </w:rPr>
      </w:pPr>
    </w:p>
    <w:p w:rsidR="00F32841" w:rsidRPr="00485A4C" w:rsidRDefault="00F32841" w:rsidP="00F32841">
      <w:pPr>
        <w:tabs>
          <w:tab w:val="right" w:pos="8931"/>
        </w:tabs>
        <w:spacing w:before="120"/>
        <w:ind w:left="4253"/>
        <w:jc w:val="center"/>
        <w:rPr>
          <w:rFonts w:ascii="Tahoma" w:hAnsi="Tahoma" w:cs="Tahoma"/>
          <w:b/>
          <w:spacing w:val="20"/>
          <w:highlight w:val="red"/>
        </w:rPr>
      </w:pPr>
    </w:p>
    <w:p w:rsidR="00F32841" w:rsidRPr="00485A4C" w:rsidRDefault="00F32841" w:rsidP="00F32841">
      <w:pPr>
        <w:tabs>
          <w:tab w:val="right" w:pos="8931"/>
        </w:tabs>
        <w:spacing w:before="120"/>
        <w:ind w:left="4253"/>
        <w:jc w:val="center"/>
        <w:rPr>
          <w:rFonts w:ascii="Tahoma" w:hAnsi="Tahoma" w:cs="Tahoma"/>
          <w:b/>
          <w:spacing w:val="20"/>
          <w:highlight w:val="red"/>
        </w:rPr>
      </w:pPr>
    </w:p>
    <w:p w:rsidR="00F32841" w:rsidRPr="00485A4C" w:rsidRDefault="00F32841" w:rsidP="00F32841">
      <w:pPr>
        <w:tabs>
          <w:tab w:val="right" w:pos="8931"/>
        </w:tabs>
        <w:spacing w:before="120"/>
        <w:ind w:left="4253"/>
        <w:jc w:val="center"/>
        <w:rPr>
          <w:rFonts w:ascii="Tahoma" w:hAnsi="Tahoma" w:cs="Tahoma"/>
          <w:b/>
          <w:spacing w:val="20"/>
          <w:highlight w:val="red"/>
        </w:rPr>
      </w:pPr>
    </w:p>
    <w:p w:rsidR="00F32841" w:rsidRPr="00485A4C" w:rsidRDefault="00F109F8" w:rsidP="00F32841">
      <w:pPr>
        <w:tabs>
          <w:tab w:val="right" w:pos="8931"/>
        </w:tabs>
        <w:spacing w:before="120"/>
        <w:jc w:val="center"/>
        <w:rPr>
          <w:rFonts w:ascii="Tahoma" w:hAnsi="Tahoma" w:cs="Tahoma"/>
          <w:b/>
          <w:spacing w:val="20"/>
          <w:sz w:val="22"/>
          <w:szCs w:val="22"/>
        </w:rPr>
      </w:pPr>
      <w:r w:rsidRPr="00485A4C">
        <w:rPr>
          <w:rFonts w:ascii="Tahoma" w:hAnsi="Tahoma" w:cs="Tahoma"/>
          <w:b/>
          <w:spacing w:val="20"/>
          <w:sz w:val="22"/>
          <w:szCs w:val="22"/>
        </w:rPr>
        <w:t>Α΄ΒΙΠΕ ΒΟΛΟΥ</w:t>
      </w:r>
    </w:p>
    <w:p w:rsidR="00F32841" w:rsidRPr="00485A4C" w:rsidRDefault="00F109F8" w:rsidP="00F32841">
      <w:pPr>
        <w:tabs>
          <w:tab w:val="right" w:pos="8931"/>
        </w:tabs>
        <w:spacing w:before="120"/>
        <w:jc w:val="center"/>
        <w:rPr>
          <w:rFonts w:ascii="Tahoma" w:hAnsi="Tahoma" w:cs="Tahoma"/>
          <w:b/>
          <w:spacing w:val="20"/>
          <w:sz w:val="22"/>
          <w:szCs w:val="22"/>
        </w:rPr>
      </w:pPr>
      <w:r w:rsidRPr="00485A4C">
        <w:rPr>
          <w:rFonts w:ascii="Tahoma" w:hAnsi="Tahoma" w:cs="Tahoma"/>
          <w:b/>
          <w:spacing w:val="20"/>
          <w:sz w:val="22"/>
          <w:szCs w:val="22"/>
        </w:rPr>
        <w:t>Αύγουστος</w:t>
      </w:r>
      <w:r w:rsidR="00F32841" w:rsidRPr="00485A4C">
        <w:rPr>
          <w:rFonts w:ascii="Tahoma" w:hAnsi="Tahoma" w:cs="Tahoma"/>
          <w:b/>
          <w:spacing w:val="20"/>
          <w:sz w:val="22"/>
          <w:szCs w:val="22"/>
        </w:rPr>
        <w:t xml:space="preserve"> 201</w:t>
      </w:r>
      <w:r w:rsidR="00E87405" w:rsidRPr="00485A4C">
        <w:rPr>
          <w:rFonts w:ascii="Tahoma" w:hAnsi="Tahoma" w:cs="Tahoma"/>
          <w:b/>
          <w:spacing w:val="20"/>
          <w:sz w:val="22"/>
          <w:szCs w:val="22"/>
        </w:rPr>
        <w:t>9</w:t>
      </w:r>
    </w:p>
    <w:p w:rsidR="00933B76" w:rsidRPr="00485A4C" w:rsidRDefault="00933B76" w:rsidP="00274E67">
      <w:pPr>
        <w:jc w:val="both"/>
        <w:rPr>
          <w:rFonts w:ascii="Tahoma" w:hAnsi="Tahoma" w:cs="Tahoma"/>
          <w:b/>
          <w:sz w:val="22"/>
          <w:szCs w:val="22"/>
          <w:highlight w:val="red"/>
        </w:rPr>
      </w:pPr>
    </w:p>
    <w:p w:rsidR="00F32841" w:rsidRPr="00485A4C" w:rsidRDefault="00F32841" w:rsidP="00274E67">
      <w:pPr>
        <w:jc w:val="both"/>
        <w:rPr>
          <w:rFonts w:ascii="Tahoma" w:hAnsi="Tahoma" w:cs="Tahoma"/>
          <w:b/>
          <w:sz w:val="22"/>
          <w:szCs w:val="22"/>
          <w:highlight w:val="red"/>
        </w:rPr>
      </w:pPr>
    </w:p>
    <w:p w:rsidR="0025494D" w:rsidRPr="00485A4C" w:rsidRDefault="0025494D" w:rsidP="00274E67">
      <w:pPr>
        <w:jc w:val="both"/>
        <w:rPr>
          <w:rFonts w:ascii="Tahoma" w:hAnsi="Tahoma" w:cs="Tahoma"/>
          <w:b/>
          <w:sz w:val="22"/>
          <w:szCs w:val="22"/>
          <w:highlight w:val="red"/>
        </w:rPr>
      </w:pPr>
    </w:p>
    <w:p w:rsidR="00F109F8" w:rsidRPr="00485A4C" w:rsidRDefault="00F109F8" w:rsidP="00274E67">
      <w:pPr>
        <w:jc w:val="both"/>
        <w:rPr>
          <w:rFonts w:ascii="Tahoma" w:hAnsi="Tahoma" w:cs="Tahoma"/>
          <w:b/>
          <w:sz w:val="22"/>
          <w:szCs w:val="22"/>
          <w:highlight w:val="red"/>
        </w:rPr>
      </w:pPr>
    </w:p>
    <w:p w:rsidR="00FD2C36" w:rsidRPr="00485A4C" w:rsidRDefault="00FD2C36" w:rsidP="00C4516E">
      <w:pPr>
        <w:autoSpaceDE w:val="0"/>
        <w:autoSpaceDN w:val="0"/>
        <w:adjustRightInd w:val="0"/>
        <w:jc w:val="center"/>
        <w:rPr>
          <w:rFonts w:ascii="Tahoma" w:hAnsi="Tahoma" w:cs="Tahoma"/>
          <w:b/>
          <w:sz w:val="22"/>
          <w:szCs w:val="22"/>
        </w:rPr>
      </w:pPr>
      <w:bookmarkStart w:id="0" w:name="_Toc113774299"/>
      <w:r w:rsidRPr="00485A4C">
        <w:rPr>
          <w:rFonts w:ascii="Tahoma" w:hAnsi="Tahoma" w:cs="Tahoma"/>
          <w:b/>
          <w:sz w:val="22"/>
          <w:szCs w:val="22"/>
        </w:rPr>
        <w:t>ΠΙΝΑΚΑΣ ΠΕΡΙΕΧΟΜΕΝΩΝ</w:t>
      </w:r>
    </w:p>
    <w:p w:rsidR="0025494D" w:rsidRPr="00485A4C" w:rsidRDefault="004F7B85">
      <w:pPr>
        <w:pStyle w:val="TOC1"/>
        <w:rPr>
          <w:rFonts w:ascii="Tahoma" w:eastAsiaTheme="minorEastAsia" w:hAnsi="Tahoma" w:cs="Tahoma"/>
          <w:b w:val="0"/>
          <w:bCs w:val="0"/>
          <w:noProof/>
          <w:sz w:val="22"/>
          <w:szCs w:val="22"/>
        </w:rPr>
      </w:pPr>
      <w:r w:rsidRPr="00485A4C">
        <w:rPr>
          <w:rFonts w:ascii="Tahoma" w:hAnsi="Tahoma" w:cs="Tahoma"/>
          <w:sz w:val="22"/>
          <w:szCs w:val="22"/>
          <w:highlight w:val="yellow"/>
        </w:rPr>
        <w:fldChar w:fldCharType="begin"/>
      </w:r>
      <w:r w:rsidRPr="00485A4C">
        <w:rPr>
          <w:rFonts w:ascii="Tahoma" w:hAnsi="Tahoma" w:cs="Tahoma"/>
          <w:sz w:val="22"/>
          <w:szCs w:val="22"/>
          <w:highlight w:val="yellow"/>
        </w:rPr>
        <w:instrText xml:space="preserve"> TOC \o "1-3" \h \z \u </w:instrText>
      </w:r>
      <w:r w:rsidRPr="00485A4C">
        <w:rPr>
          <w:rFonts w:ascii="Tahoma" w:hAnsi="Tahoma" w:cs="Tahoma"/>
          <w:sz w:val="22"/>
          <w:szCs w:val="22"/>
          <w:highlight w:val="yellow"/>
        </w:rPr>
        <w:fldChar w:fldCharType="separate"/>
      </w:r>
      <w:hyperlink w:anchor="_Toc526260592" w:history="1">
        <w:r w:rsidR="0025494D" w:rsidRPr="00485A4C">
          <w:rPr>
            <w:rStyle w:val="Hyperlink"/>
            <w:rFonts w:ascii="Tahoma" w:hAnsi="Tahoma" w:cs="Tahoma"/>
            <w:noProof/>
          </w:rPr>
          <w:t>1.</w:t>
        </w:r>
        <w:r w:rsidR="0025494D" w:rsidRPr="00485A4C">
          <w:rPr>
            <w:rFonts w:ascii="Tahoma" w:eastAsiaTheme="minorEastAsia" w:hAnsi="Tahoma" w:cs="Tahoma"/>
            <w:b w:val="0"/>
            <w:bCs w:val="0"/>
            <w:noProof/>
            <w:sz w:val="22"/>
            <w:szCs w:val="22"/>
          </w:rPr>
          <w:tab/>
        </w:r>
        <w:r w:rsidR="0025494D" w:rsidRPr="00485A4C">
          <w:rPr>
            <w:rStyle w:val="Hyperlink"/>
            <w:rFonts w:ascii="Tahoma" w:hAnsi="Tahoma" w:cs="Tahoma"/>
            <w:noProof/>
          </w:rPr>
          <w:t>Έκθεση Διαχείρισης Διοικητικού Συμβουλίου</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_Toc526260592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w:t>
        </w:r>
        <w:r w:rsidR="0025494D" w:rsidRPr="00485A4C">
          <w:rPr>
            <w:rFonts w:ascii="Tahoma" w:hAnsi="Tahoma" w:cs="Tahoma"/>
            <w:noProof/>
            <w:webHidden/>
          </w:rPr>
          <w:fldChar w:fldCharType="end"/>
        </w:r>
      </w:hyperlink>
    </w:p>
    <w:p w:rsidR="0025494D" w:rsidRPr="00485A4C" w:rsidRDefault="008A46EC">
      <w:pPr>
        <w:pStyle w:val="TOC1"/>
        <w:rPr>
          <w:rFonts w:ascii="Tahoma" w:eastAsiaTheme="minorEastAsia" w:hAnsi="Tahoma" w:cs="Tahoma"/>
          <w:b w:val="0"/>
          <w:bCs w:val="0"/>
          <w:noProof/>
          <w:sz w:val="22"/>
          <w:szCs w:val="22"/>
        </w:rPr>
      </w:pPr>
      <w:hyperlink w:anchor="_Toc526260593" w:history="1">
        <w:r w:rsidR="0025494D" w:rsidRPr="00485A4C">
          <w:rPr>
            <w:rStyle w:val="Hyperlink"/>
            <w:rFonts w:ascii="Tahoma" w:hAnsi="Tahoma" w:cs="Tahoma"/>
            <w:noProof/>
          </w:rPr>
          <w:t>2.</w:t>
        </w:r>
        <w:r w:rsidR="0025494D" w:rsidRPr="00485A4C">
          <w:rPr>
            <w:rFonts w:ascii="Tahoma" w:eastAsiaTheme="minorEastAsia" w:hAnsi="Tahoma" w:cs="Tahoma"/>
            <w:b w:val="0"/>
            <w:bCs w:val="0"/>
            <w:noProof/>
            <w:sz w:val="22"/>
            <w:szCs w:val="22"/>
          </w:rPr>
          <w:tab/>
        </w:r>
        <w:r w:rsidR="0025494D" w:rsidRPr="00485A4C">
          <w:rPr>
            <w:rStyle w:val="Hyperlink"/>
            <w:rFonts w:ascii="Tahoma" w:hAnsi="Tahoma" w:cs="Tahoma"/>
            <w:noProof/>
          </w:rPr>
          <w:t>Οικονομικές Καταστάσεις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_Toc526260593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13</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594" w:history="1">
        <w:r w:rsidR="0025494D" w:rsidRPr="00485A4C">
          <w:rPr>
            <w:rStyle w:val="Hyperlink"/>
            <w:rFonts w:ascii="Tahoma" w:hAnsi="Tahoma" w:cs="Tahoma"/>
            <w:noProof/>
          </w:rPr>
          <w:t>Κατάσταση Οικονομικής Θέσης  (ποσά σε €)</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_Toc526260594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13</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595" w:history="1">
        <w:r w:rsidR="0025494D" w:rsidRPr="00485A4C">
          <w:rPr>
            <w:rStyle w:val="Hyperlink"/>
            <w:rFonts w:ascii="Tahoma" w:hAnsi="Tahoma" w:cs="Tahoma"/>
            <w:noProof/>
          </w:rPr>
          <w:t>Κατάσταση Συνολικού Εισοδήματος (ποσά σε €)</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_Toc526260595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14</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596" w:history="1">
        <w:r w:rsidR="0025494D" w:rsidRPr="00485A4C">
          <w:rPr>
            <w:rStyle w:val="Hyperlink"/>
            <w:rFonts w:ascii="Tahoma" w:hAnsi="Tahoma" w:cs="Tahoma"/>
            <w:noProof/>
          </w:rPr>
          <w:t>Κατάσταση Μεταβολών Ιδίων Κεφαλαίων (ποσά σε €)</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_Toc526260596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15</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597" w:history="1">
        <w:r w:rsidR="0025494D" w:rsidRPr="00485A4C">
          <w:rPr>
            <w:rStyle w:val="Hyperlink"/>
            <w:rFonts w:ascii="Tahoma" w:hAnsi="Tahoma" w:cs="Tahoma"/>
            <w:noProof/>
          </w:rPr>
          <w:t>Κατάσταση ταμειακών ροών (ποσά σε €)</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_Toc526260597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16</w:t>
        </w:r>
        <w:r w:rsidR="0025494D" w:rsidRPr="00485A4C">
          <w:rPr>
            <w:rFonts w:ascii="Tahoma" w:hAnsi="Tahoma" w:cs="Tahoma"/>
            <w:noProof/>
            <w:webHidden/>
          </w:rPr>
          <w:fldChar w:fldCharType="end"/>
        </w:r>
      </w:hyperlink>
    </w:p>
    <w:p w:rsidR="0025494D" w:rsidRPr="00485A4C" w:rsidRDefault="008A46EC">
      <w:pPr>
        <w:pStyle w:val="TOC1"/>
        <w:rPr>
          <w:rFonts w:ascii="Tahoma" w:eastAsiaTheme="minorEastAsia" w:hAnsi="Tahoma" w:cs="Tahoma"/>
          <w:b w:val="0"/>
          <w:bCs w:val="0"/>
          <w:noProof/>
          <w:sz w:val="22"/>
          <w:szCs w:val="22"/>
        </w:rPr>
      </w:pPr>
      <w:hyperlink w:anchor="_Toc526260598" w:history="1">
        <w:r w:rsidR="0025494D" w:rsidRPr="00485A4C">
          <w:rPr>
            <w:rStyle w:val="Hyperlink"/>
            <w:rFonts w:ascii="Tahoma" w:hAnsi="Tahoma" w:cs="Tahoma"/>
            <w:noProof/>
          </w:rPr>
          <w:t>4. Γενικές πληροφορίες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_Toc526260598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17</w:t>
        </w:r>
        <w:r w:rsidR="0025494D" w:rsidRPr="00485A4C">
          <w:rPr>
            <w:rFonts w:ascii="Tahoma" w:hAnsi="Tahoma" w:cs="Tahoma"/>
            <w:noProof/>
            <w:webHidden/>
          </w:rPr>
          <w:fldChar w:fldCharType="end"/>
        </w:r>
      </w:hyperlink>
    </w:p>
    <w:p w:rsidR="0025494D" w:rsidRPr="00485A4C" w:rsidRDefault="008A46EC">
      <w:pPr>
        <w:pStyle w:val="TOC1"/>
        <w:rPr>
          <w:rFonts w:ascii="Tahoma" w:eastAsiaTheme="minorEastAsia" w:hAnsi="Tahoma" w:cs="Tahoma"/>
          <w:b w:val="0"/>
          <w:bCs w:val="0"/>
          <w:noProof/>
          <w:sz w:val="22"/>
          <w:szCs w:val="22"/>
        </w:rPr>
      </w:pPr>
      <w:hyperlink w:anchor="_Toc526260599" w:history="1">
        <w:r w:rsidR="0025494D" w:rsidRPr="00485A4C">
          <w:rPr>
            <w:rStyle w:val="Hyperlink"/>
            <w:rFonts w:ascii="Tahoma" w:hAnsi="Tahoma" w:cs="Tahoma"/>
            <w:noProof/>
          </w:rPr>
          <w:t>5. Ακολουθούμενες λογιστικές αρχές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_Toc526260599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18</w:t>
        </w:r>
        <w:r w:rsidR="0025494D" w:rsidRPr="00485A4C">
          <w:rPr>
            <w:rFonts w:ascii="Tahoma" w:hAnsi="Tahoma" w:cs="Tahoma"/>
            <w:noProof/>
            <w:webHidden/>
          </w:rPr>
          <w:fldChar w:fldCharType="end"/>
        </w:r>
      </w:hyperlink>
    </w:p>
    <w:p w:rsidR="0025494D" w:rsidRPr="00485A4C" w:rsidRDefault="008A46EC">
      <w:pPr>
        <w:pStyle w:val="TOC1"/>
        <w:rPr>
          <w:rFonts w:ascii="Tahoma" w:eastAsiaTheme="minorEastAsia" w:hAnsi="Tahoma" w:cs="Tahoma"/>
          <w:b w:val="0"/>
          <w:bCs w:val="0"/>
          <w:noProof/>
          <w:sz w:val="22"/>
          <w:szCs w:val="22"/>
        </w:rPr>
      </w:pPr>
      <w:hyperlink w:anchor="_Toc526260600" w:history="1">
        <w:r w:rsidR="0025494D" w:rsidRPr="00485A4C">
          <w:rPr>
            <w:rStyle w:val="Hyperlink"/>
            <w:rFonts w:ascii="Tahoma" w:hAnsi="Tahoma" w:cs="Tahoma"/>
            <w:noProof/>
          </w:rPr>
          <w:t>6. Διαχείριση χρηματοοικονομικού κινδύνου</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_Toc526260600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31</w:t>
        </w:r>
        <w:r w:rsidR="0025494D" w:rsidRPr="00485A4C">
          <w:rPr>
            <w:rFonts w:ascii="Tahoma" w:hAnsi="Tahoma" w:cs="Tahoma"/>
            <w:noProof/>
            <w:webHidden/>
          </w:rPr>
          <w:fldChar w:fldCharType="end"/>
        </w:r>
      </w:hyperlink>
    </w:p>
    <w:p w:rsidR="0025494D" w:rsidRPr="00485A4C" w:rsidRDefault="008A46EC">
      <w:pPr>
        <w:pStyle w:val="TOC1"/>
        <w:rPr>
          <w:rFonts w:ascii="Tahoma" w:eastAsiaTheme="minorEastAsia" w:hAnsi="Tahoma" w:cs="Tahoma"/>
          <w:b w:val="0"/>
          <w:bCs w:val="0"/>
          <w:noProof/>
          <w:sz w:val="22"/>
          <w:szCs w:val="22"/>
        </w:rPr>
      </w:pPr>
      <w:hyperlink w:anchor="_Toc526260601" w:history="1">
        <w:r w:rsidR="0025494D" w:rsidRPr="00485A4C">
          <w:rPr>
            <w:rStyle w:val="Hyperlink"/>
            <w:rFonts w:ascii="Tahoma" w:hAnsi="Tahoma" w:cs="Tahoma"/>
            <w:noProof/>
          </w:rPr>
          <w:t>7. Σημειώσεις επί των οικονομικών καταστάσεων</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_Toc526260601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34</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02" w:history="1">
        <w:r w:rsidR="0025494D" w:rsidRPr="00485A4C">
          <w:rPr>
            <w:rStyle w:val="Hyperlink"/>
            <w:rFonts w:ascii="Tahoma" w:hAnsi="Tahoma" w:cs="Tahoma"/>
            <w:noProof/>
          </w:rPr>
          <w:t>7.1. Ενσώματα πάγια</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_Toc526260602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34</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03" w:history="1">
        <w:r w:rsidR="0025494D" w:rsidRPr="00485A4C">
          <w:rPr>
            <w:rStyle w:val="Hyperlink"/>
            <w:rFonts w:ascii="Tahoma" w:hAnsi="Tahoma" w:cs="Tahoma"/>
            <w:noProof/>
          </w:rPr>
          <w:t>7.2. Άυλα περιουσιακά στοιχεία</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_Toc526260603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35</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04" w:history="1">
        <w:r w:rsidR="0025494D" w:rsidRPr="00485A4C">
          <w:rPr>
            <w:rStyle w:val="Hyperlink"/>
            <w:rFonts w:ascii="Tahoma" w:hAnsi="Tahoma" w:cs="Tahoma"/>
            <w:noProof/>
          </w:rPr>
          <w:t>7.3. Πελάτες και λοιπές απαιτήσεις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_Toc526260604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36</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05" w:history="1">
        <w:r w:rsidR="0025494D" w:rsidRPr="00485A4C">
          <w:rPr>
            <w:rStyle w:val="Hyperlink"/>
            <w:rFonts w:ascii="Tahoma" w:hAnsi="Tahoma" w:cs="Tahoma"/>
            <w:noProof/>
          </w:rPr>
          <w:t>7.4. Αποθέματα</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_Toc526260605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37</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06" w:history="1">
        <w:r w:rsidR="0025494D" w:rsidRPr="00485A4C">
          <w:rPr>
            <w:rStyle w:val="Hyperlink"/>
            <w:rFonts w:ascii="Tahoma" w:hAnsi="Tahoma" w:cs="Tahoma"/>
            <w:noProof/>
          </w:rPr>
          <w:t>7.5. Πελάτες και λοιπές εμπορικές απαιτήσεις.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_Toc526260606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37</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07" w:history="1">
        <w:r w:rsidR="0025494D" w:rsidRPr="00485A4C">
          <w:rPr>
            <w:rStyle w:val="Hyperlink"/>
            <w:rFonts w:ascii="Tahoma" w:hAnsi="Tahoma" w:cs="Tahoma"/>
            <w:noProof/>
          </w:rPr>
          <w:t>7.6. Λοιπές απαιτήσεις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_Toc526260607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38</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08" w:history="1">
        <w:r w:rsidR="0025494D" w:rsidRPr="00485A4C">
          <w:rPr>
            <w:rStyle w:val="Hyperlink"/>
            <w:rFonts w:ascii="Tahoma" w:hAnsi="Tahoma" w:cs="Tahoma"/>
            <w:noProof/>
          </w:rPr>
          <w:t>7.7. Ταμιακά διαθέσιμα και ισοδύναμα αυτών</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_Toc526260608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38</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09" w:history="1">
        <w:r w:rsidR="0025494D" w:rsidRPr="00485A4C">
          <w:rPr>
            <w:rStyle w:val="Hyperlink"/>
            <w:rFonts w:ascii="Tahoma" w:hAnsi="Tahoma" w:cs="Tahoma"/>
            <w:noProof/>
          </w:rPr>
          <w:t>7.8. Μετοχικό κεφάλαιο</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_Toc526260609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39</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10" w:history="1">
        <w:r w:rsidR="0025494D" w:rsidRPr="00485A4C">
          <w:rPr>
            <w:rStyle w:val="Hyperlink"/>
            <w:rFonts w:ascii="Tahoma" w:hAnsi="Tahoma" w:cs="Tahoma"/>
            <w:noProof/>
          </w:rPr>
          <w:t>7.9 Λοιπά αποθεματικά &amp; αποτελέσματα εις νέο</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_Toc526260610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39</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11" w:history="1">
        <w:r w:rsidR="0025494D" w:rsidRPr="00485A4C">
          <w:rPr>
            <w:rStyle w:val="Hyperlink"/>
            <w:rFonts w:ascii="Tahoma" w:hAnsi="Tahoma" w:cs="Tahoma"/>
            <w:noProof/>
          </w:rPr>
          <w:t>7.10.  Προβλέψεις για παροχές στους εργαζόμενους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_Toc526260611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39</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12" w:history="1">
        <w:r w:rsidR="0025494D" w:rsidRPr="00485A4C">
          <w:rPr>
            <w:rStyle w:val="Hyperlink"/>
            <w:rFonts w:ascii="Tahoma" w:hAnsi="Tahoma" w:cs="Tahoma"/>
            <w:noProof/>
          </w:rPr>
          <w:t>7.11. Μακροπρόθεσμες δανειακές υποχρεώσεις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_Toc526260612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40</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13" w:history="1">
        <w:r w:rsidR="0025494D" w:rsidRPr="00485A4C">
          <w:rPr>
            <w:rStyle w:val="Hyperlink"/>
            <w:rFonts w:ascii="Tahoma" w:hAnsi="Tahoma" w:cs="Tahoma"/>
            <w:noProof/>
          </w:rPr>
          <w:t>7.12. Αναβαλλόμενες φορολογικές υποχρεώσεις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_Toc526260613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40</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14" w:history="1">
        <w:r w:rsidR="0025494D" w:rsidRPr="00485A4C">
          <w:rPr>
            <w:rStyle w:val="Hyperlink"/>
            <w:rFonts w:ascii="Tahoma" w:hAnsi="Tahoma" w:cs="Tahoma"/>
            <w:noProof/>
          </w:rPr>
          <w:t>7.13. Κρατικές επιχορηγήσεις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_Toc526260614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41</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15" w:history="1">
        <w:r w:rsidR="0025494D" w:rsidRPr="00485A4C">
          <w:rPr>
            <w:rStyle w:val="Hyperlink"/>
            <w:rFonts w:ascii="Tahoma" w:hAnsi="Tahoma" w:cs="Tahoma"/>
            <w:noProof/>
          </w:rPr>
          <w:t>7.14. Προμηθευτές και λοιπές εμπορικές υποχρεώσεις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_Toc526260615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41</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16" w:history="1">
        <w:r w:rsidR="0025494D" w:rsidRPr="00485A4C">
          <w:rPr>
            <w:rStyle w:val="Hyperlink"/>
            <w:rFonts w:ascii="Tahoma" w:hAnsi="Tahoma" w:cs="Tahoma"/>
            <w:noProof/>
          </w:rPr>
          <w:t>7.15. Πωλήσεις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_Toc526260616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42</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17" w:history="1">
        <w:r w:rsidR="0025494D" w:rsidRPr="00485A4C">
          <w:rPr>
            <w:rStyle w:val="Hyperlink"/>
            <w:rFonts w:ascii="Tahoma" w:hAnsi="Tahoma" w:cs="Tahoma"/>
            <w:noProof/>
          </w:rPr>
          <w:t>7.16. Άλλα έσοδα</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_Toc526260617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42</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18" w:history="1">
        <w:r w:rsidR="0025494D" w:rsidRPr="00485A4C">
          <w:rPr>
            <w:rStyle w:val="Hyperlink"/>
            <w:rFonts w:ascii="Tahoma" w:hAnsi="Tahoma" w:cs="Tahoma"/>
            <w:noProof/>
          </w:rPr>
          <w:t>7.17. Κόστος πωληθέντων- κόστος λειτουργίας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_Toc526260618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43</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19" w:history="1">
        <w:r w:rsidR="0025494D" w:rsidRPr="00485A4C">
          <w:rPr>
            <w:rStyle w:val="Hyperlink"/>
            <w:rFonts w:ascii="Tahoma" w:hAnsi="Tahoma" w:cs="Tahoma"/>
            <w:noProof/>
            <w:lang w:val="en-US"/>
          </w:rPr>
          <w:t>7</w:t>
        </w:r>
        <w:r w:rsidR="0025494D" w:rsidRPr="00485A4C">
          <w:rPr>
            <w:rStyle w:val="Hyperlink"/>
            <w:rFonts w:ascii="Tahoma" w:hAnsi="Tahoma" w:cs="Tahoma"/>
            <w:noProof/>
          </w:rPr>
          <w:t>.</w:t>
        </w:r>
        <w:r w:rsidR="0025494D" w:rsidRPr="00485A4C">
          <w:rPr>
            <w:rStyle w:val="Hyperlink"/>
            <w:rFonts w:ascii="Tahoma" w:hAnsi="Tahoma" w:cs="Tahoma"/>
            <w:noProof/>
            <w:lang w:val="en-US"/>
          </w:rPr>
          <w:t>18</w:t>
        </w:r>
        <w:r w:rsidR="0025494D" w:rsidRPr="00485A4C">
          <w:rPr>
            <w:rStyle w:val="Hyperlink"/>
            <w:rFonts w:ascii="Tahoma" w:hAnsi="Tahoma" w:cs="Tahoma"/>
            <w:noProof/>
          </w:rPr>
          <w:t>. Άλλα έξοδα</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_Toc526260619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44</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20" w:history="1">
        <w:r w:rsidR="0025494D" w:rsidRPr="00485A4C">
          <w:rPr>
            <w:rStyle w:val="Hyperlink"/>
            <w:rFonts w:ascii="Tahoma" w:hAnsi="Tahoma" w:cs="Tahoma"/>
            <w:noProof/>
          </w:rPr>
          <w:t>7.19. Χρηματοοικονομικά έσοδα</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_Toc526260620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44</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21" w:history="1">
        <w:r w:rsidR="0025494D" w:rsidRPr="00485A4C">
          <w:rPr>
            <w:rStyle w:val="Hyperlink"/>
            <w:rFonts w:ascii="Tahoma" w:hAnsi="Tahoma" w:cs="Tahoma"/>
            <w:noProof/>
          </w:rPr>
          <w:t>7.20. Χρηματοοικονομικά έξοδα</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_Toc526260621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45</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22" w:history="1">
        <w:r w:rsidR="0025494D" w:rsidRPr="00485A4C">
          <w:rPr>
            <w:rStyle w:val="Hyperlink"/>
            <w:rFonts w:ascii="Tahoma" w:hAnsi="Tahoma" w:cs="Tahoma"/>
            <w:noProof/>
          </w:rPr>
          <w:t>7.21. Φόρος Εισοδήματος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_Toc526260622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45</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23" w:history="1">
        <w:r w:rsidR="0025494D" w:rsidRPr="00485A4C">
          <w:rPr>
            <w:rStyle w:val="Hyperlink"/>
            <w:rFonts w:ascii="Tahoma" w:hAnsi="Tahoma" w:cs="Tahoma"/>
            <w:noProof/>
          </w:rPr>
          <w:t>7.22. Κέρδη ανά μετοχή</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_Toc526260623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45</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24" w:history="1">
        <w:r w:rsidR="0025494D" w:rsidRPr="00485A4C">
          <w:rPr>
            <w:rStyle w:val="Hyperlink"/>
            <w:rFonts w:ascii="Tahoma" w:hAnsi="Tahoma" w:cs="Tahoma"/>
            <w:noProof/>
          </w:rPr>
          <w:t>7.23. Μερίσματα</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_Toc526260624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46</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25" w:history="1">
        <w:r w:rsidR="0025494D" w:rsidRPr="00485A4C">
          <w:rPr>
            <w:rStyle w:val="Hyperlink"/>
            <w:rFonts w:ascii="Tahoma" w:hAnsi="Tahoma" w:cs="Tahoma"/>
            <w:noProof/>
          </w:rPr>
          <w:t>7.24. Ενδεχόμενες υποχρεώσεις</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_Toc526260625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46</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26" w:history="1">
        <w:r w:rsidR="0025494D" w:rsidRPr="00485A4C">
          <w:rPr>
            <w:rStyle w:val="Hyperlink"/>
            <w:rFonts w:ascii="Tahoma" w:hAnsi="Tahoma" w:cs="Tahoma"/>
            <w:noProof/>
          </w:rPr>
          <w:t>7.25. Συναλλαγές µε συνδεδεμένα μέρη</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_Toc526260626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46</w:t>
        </w:r>
        <w:r w:rsidR="0025494D" w:rsidRPr="00485A4C">
          <w:rPr>
            <w:rFonts w:ascii="Tahoma" w:hAnsi="Tahoma" w:cs="Tahoma"/>
            <w:noProof/>
            <w:webHidden/>
          </w:rPr>
          <w:fldChar w:fldCharType="end"/>
        </w:r>
      </w:hyperlink>
    </w:p>
    <w:p w:rsidR="0025494D" w:rsidRPr="00485A4C" w:rsidRDefault="008A46EC">
      <w:pPr>
        <w:pStyle w:val="TOC2"/>
        <w:rPr>
          <w:rFonts w:ascii="Tahoma" w:eastAsiaTheme="minorEastAsia" w:hAnsi="Tahoma" w:cs="Tahoma"/>
          <w:i w:val="0"/>
          <w:iCs w:val="0"/>
          <w:noProof/>
          <w:sz w:val="22"/>
          <w:szCs w:val="22"/>
        </w:rPr>
      </w:pPr>
      <w:hyperlink w:anchor="_Toc526260627" w:history="1">
        <w:r w:rsidR="0025494D" w:rsidRPr="00485A4C">
          <w:rPr>
            <w:rStyle w:val="Hyperlink"/>
            <w:rFonts w:ascii="Tahoma" w:hAnsi="Tahoma" w:cs="Tahoma"/>
            <w:noProof/>
          </w:rPr>
          <w:t>7.26. Γεγονότα μετά την ημερομηνία του ισολογισμού</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_Toc526260627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47</w:t>
        </w:r>
        <w:r w:rsidR="0025494D" w:rsidRPr="00485A4C">
          <w:rPr>
            <w:rFonts w:ascii="Tahoma" w:hAnsi="Tahoma" w:cs="Tahoma"/>
            <w:noProof/>
            <w:webHidden/>
          </w:rPr>
          <w:fldChar w:fldCharType="end"/>
        </w:r>
      </w:hyperlink>
    </w:p>
    <w:p w:rsidR="0025494D" w:rsidRPr="00485A4C" w:rsidRDefault="008A46EC">
      <w:pPr>
        <w:pStyle w:val="TOC1"/>
        <w:rPr>
          <w:rFonts w:ascii="Tahoma" w:eastAsiaTheme="minorEastAsia" w:hAnsi="Tahoma" w:cs="Tahoma"/>
          <w:b w:val="0"/>
          <w:bCs w:val="0"/>
          <w:noProof/>
          <w:sz w:val="22"/>
          <w:szCs w:val="22"/>
        </w:rPr>
      </w:pPr>
      <w:hyperlink w:anchor="_Toc526260628" w:history="1">
        <w:r w:rsidR="0025494D" w:rsidRPr="00485A4C">
          <w:rPr>
            <w:rStyle w:val="Hyperlink"/>
            <w:rFonts w:ascii="Tahoma" w:hAnsi="Tahoma" w:cs="Tahoma"/>
            <w:noProof/>
          </w:rPr>
          <w:t>8. Διαδικτυακός τόπος ανάρτησης των Εταιρικών Οικονομικών Καταστάσεων</w:t>
        </w:r>
        <w:r w:rsidR="0025494D" w:rsidRPr="00485A4C">
          <w:rPr>
            <w:rFonts w:ascii="Tahoma" w:hAnsi="Tahoma" w:cs="Tahoma"/>
            <w:noProof/>
            <w:webHidden/>
          </w:rPr>
          <w:tab/>
        </w:r>
        <w:r w:rsidR="0025494D" w:rsidRPr="00485A4C">
          <w:rPr>
            <w:rFonts w:ascii="Tahoma" w:hAnsi="Tahoma" w:cs="Tahoma"/>
            <w:noProof/>
            <w:webHidden/>
          </w:rPr>
          <w:fldChar w:fldCharType="begin"/>
        </w:r>
        <w:r w:rsidR="0025494D" w:rsidRPr="00485A4C">
          <w:rPr>
            <w:rFonts w:ascii="Tahoma" w:hAnsi="Tahoma" w:cs="Tahoma"/>
            <w:noProof/>
            <w:webHidden/>
          </w:rPr>
          <w:instrText xml:space="preserve"> PAGEREF _Toc526260628 \h </w:instrText>
        </w:r>
        <w:r w:rsidR="0025494D" w:rsidRPr="00485A4C">
          <w:rPr>
            <w:rFonts w:ascii="Tahoma" w:hAnsi="Tahoma" w:cs="Tahoma"/>
            <w:noProof/>
            <w:webHidden/>
          </w:rPr>
        </w:r>
        <w:r w:rsidR="0025494D" w:rsidRPr="00485A4C">
          <w:rPr>
            <w:rFonts w:ascii="Tahoma" w:hAnsi="Tahoma" w:cs="Tahoma"/>
            <w:noProof/>
            <w:webHidden/>
          </w:rPr>
          <w:fldChar w:fldCharType="separate"/>
        </w:r>
        <w:r w:rsidR="0025494D" w:rsidRPr="00485A4C">
          <w:rPr>
            <w:rFonts w:ascii="Tahoma" w:hAnsi="Tahoma" w:cs="Tahoma"/>
            <w:noProof/>
            <w:webHidden/>
          </w:rPr>
          <w:t>47</w:t>
        </w:r>
        <w:r w:rsidR="0025494D" w:rsidRPr="00485A4C">
          <w:rPr>
            <w:rFonts w:ascii="Tahoma" w:hAnsi="Tahoma" w:cs="Tahoma"/>
            <w:noProof/>
            <w:webHidden/>
          </w:rPr>
          <w:fldChar w:fldCharType="end"/>
        </w:r>
      </w:hyperlink>
    </w:p>
    <w:p w:rsidR="008D02FF" w:rsidRPr="00485A4C" w:rsidRDefault="004F7B85" w:rsidP="00B370FB">
      <w:pPr>
        <w:autoSpaceDE w:val="0"/>
        <w:autoSpaceDN w:val="0"/>
        <w:adjustRightInd w:val="0"/>
        <w:rPr>
          <w:rFonts w:ascii="Tahoma" w:hAnsi="Tahoma" w:cs="Tahoma"/>
          <w:sz w:val="22"/>
          <w:szCs w:val="22"/>
          <w:highlight w:val="red"/>
        </w:rPr>
      </w:pPr>
      <w:r w:rsidRPr="00485A4C">
        <w:rPr>
          <w:rFonts w:ascii="Tahoma" w:hAnsi="Tahoma" w:cs="Tahoma"/>
          <w:b/>
          <w:bCs/>
          <w:sz w:val="22"/>
          <w:szCs w:val="22"/>
          <w:highlight w:val="yellow"/>
        </w:rPr>
        <w:fldChar w:fldCharType="end"/>
      </w:r>
    </w:p>
    <w:p w:rsidR="00333B52" w:rsidRPr="00485A4C" w:rsidRDefault="00333B52" w:rsidP="00333B52">
      <w:pPr>
        <w:ind w:left="720"/>
        <w:jc w:val="both"/>
        <w:rPr>
          <w:rFonts w:ascii="Tahoma" w:hAnsi="Tahoma" w:cs="Tahoma"/>
          <w:b/>
          <w:sz w:val="22"/>
          <w:szCs w:val="22"/>
          <w:highlight w:val="red"/>
        </w:rPr>
      </w:pPr>
      <w:bookmarkStart w:id="1" w:name="_Toc147309331"/>
      <w:bookmarkEnd w:id="0"/>
    </w:p>
    <w:p w:rsidR="00FF05F5" w:rsidRPr="00485A4C" w:rsidRDefault="00FF05F5" w:rsidP="00330BCE">
      <w:pPr>
        <w:spacing w:line="360" w:lineRule="auto"/>
        <w:ind w:left="-540" w:firstLine="900"/>
        <w:jc w:val="both"/>
        <w:rPr>
          <w:rFonts w:ascii="Tahoma" w:hAnsi="Tahoma" w:cs="Tahoma"/>
          <w:sz w:val="22"/>
          <w:szCs w:val="22"/>
          <w:highlight w:val="red"/>
        </w:rPr>
      </w:pPr>
    </w:p>
    <w:p w:rsidR="00203F12" w:rsidRPr="00485A4C" w:rsidRDefault="00203F12" w:rsidP="00330BCE">
      <w:pPr>
        <w:spacing w:line="360" w:lineRule="auto"/>
        <w:ind w:left="-540" w:firstLine="900"/>
        <w:jc w:val="both"/>
        <w:rPr>
          <w:rFonts w:ascii="Tahoma" w:hAnsi="Tahoma" w:cs="Tahoma"/>
          <w:sz w:val="22"/>
          <w:szCs w:val="22"/>
          <w:highlight w:val="red"/>
        </w:rPr>
      </w:pPr>
    </w:p>
    <w:p w:rsidR="0025494D" w:rsidRPr="00485A4C" w:rsidRDefault="0025494D" w:rsidP="00330BCE">
      <w:pPr>
        <w:spacing w:line="360" w:lineRule="auto"/>
        <w:ind w:left="-540" w:firstLine="900"/>
        <w:jc w:val="both"/>
        <w:rPr>
          <w:rFonts w:ascii="Tahoma" w:hAnsi="Tahoma" w:cs="Tahoma"/>
          <w:sz w:val="22"/>
          <w:szCs w:val="22"/>
          <w:highlight w:val="red"/>
        </w:rPr>
      </w:pPr>
    </w:p>
    <w:p w:rsidR="00203F12" w:rsidRPr="00485A4C" w:rsidRDefault="00203F12" w:rsidP="00330BCE">
      <w:pPr>
        <w:spacing w:line="360" w:lineRule="auto"/>
        <w:ind w:left="-540" w:firstLine="900"/>
        <w:jc w:val="both"/>
        <w:rPr>
          <w:rFonts w:ascii="Tahoma" w:hAnsi="Tahoma" w:cs="Tahoma"/>
          <w:sz w:val="22"/>
          <w:szCs w:val="22"/>
          <w:highlight w:val="red"/>
        </w:rPr>
      </w:pPr>
    </w:p>
    <w:p w:rsidR="00804CCD" w:rsidRPr="00485A4C" w:rsidRDefault="00804CCD" w:rsidP="00330BCE">
      <w:pPr>
        <w:spacing w:line="360" w:lineRule="auto"/>
        <w:ind w:left="-540" w:firstLine="900"/>
        <w:jc w:val="both"/>
        <w:rPr>
          <w:rFonts w:ascii="Tahoma" w:hAnsi="Tahoma" w:cs="Tahoma"/>
          <w:sz w:val="22"/>
          <w:szCs w:val="22"/>
          <w:highlight w:val="red"/>
          <w:lang w:val="en-US"/>
        </w:rPr>
      </w:pPr>
    </w:p>
    <w:p w:rsidR="00804CCD" w:rsidRPr="00485A4C" w:rsidRDefault="00804CCD" w:rsidP="00330BCE">
      <w:pPr>
        <w:spacing w:line="360" w:lineRule="auto"/>
        <w:ind w:left="-540" w:firstLine="900"/>
        <w:jc w:val="both"/>
        <w:rPr>
          <w:rFonts w:ascii="Tahoma" w:hAnsi="Tahoma" w:cs="Tahoma"/>
          <w:sz w:val="22"/>
          <w:szCs w:val="22"/>
          <w:highlight w:val="red"/>
          <w:lang w:val="en-US"/>
        </w:rPr>
      </w:pPr>
    </w:p>
    <w:p w:rsidR="00FF05F5" w:rsidRPr="00485A4C" w:rsidRDefault="00FF05F5" w:rsidP="00330BCE">
      <w:pPr>
        <w:spacing w:line="360" w:lineRule="auto"/>
        <w:ind w:left="-540" w:firstLine="900"/>
        <w:jc w:val="both"/>
        <w:rPr>
          <w:rFonts w:ascii="Tahoma" w:hAnsi="Tahoma" w:cs="Tahoma"/>
          <w:sz w:val="22"/>
          <w:szCs w:val="22"/>
          <w:highlight w:val="red"/>
        </w:rPr>
      </w:pPr>
    </w:p>
    <w:p w:rsidR="00333B52" w:rsidRPr="00485A4C" w:rsidRDefault="00333B52" w:rsidP="00330BCE">
      <w:pPr>
        <w:spacing w:line="360" w:lineRule="auto"/>
        <w:ind w:left="-540" w:firstLine="900"/>
        <w:jc w:val="both"/>
        <w:rPr>
          <w:rFonts w:ascii="Tahoma" w:hAnsi="Tahoma" w:cs="Tahoma"/>
          <w:sz w:val="22"/>
          <w:szCs w:val="22"/>
        </w:rPr>
      </w:pPr>
      <w:r w:rsidRPr="00485A4C">
        <w:rPr>
          <w:rFonts w:ascii="Tahoma" w:hAnsi="Tahoma" w:cs="Tahoma"/>
          <w:sz w:val="22"/>
          <w:szCs w:val="22"/>
        </w:rPr>
        <w:t>Βεβαιώνεται ότι, οι συνημμένες ετήσιες οικονομικές καταστάσεις, είναι εκείνες που εγκρίθηκαν από το Διοικητικό Συμβούλιο της ανώνυμης εταιρείας «</w:t>
      </w:r>
      <w:r w:rsidR="00F109F8" w:rsidRPr="00485A4C">
        <w:rPr>
          <w:rFonts w:ascii="Tahoma" w:hAnsi="Tahoma" w:cs="Tahoma"/>
          <w:sz w:val="22"/>
          <w:szCs w:val="22"/>
        </w:rPr>
        <w:t>ΠΕΠΟΝΟΠΟΥΛΟΣ Α.Ε.</w:t>
      </w:r>
      <w:r w:rsidRPr="00485A4C">
        <w:rPr>
          <w:rFonts w:ascii="Tahoma" w:hAnsi="Tahoma" w:cs="Tahoma"/>
          <w:sz w:val="22"/>
          <w:szCs w:val="22"/>
        </w:rPr>
        <w:t xml:space="preserve">», την </w:t>
      </w:r>
      <w:r w:rsidR="003E18A4" w:rsidRPr="00485A4C">
        <w:rPr>
          <w:rFonts w:ascii="Tahoma" w:hAnsi="Tahoma" w:cs="Tahoma"/>
          <w:sz w:val="22"/>
          <w:szCs w:val="22"/>
        </w:rPr>
        <w:t>29</w:t>
      </w:r>
      <w:r w:rsidRPr="00485A4C">
        <w:rPr>
          <w:rFonts w:ascii="Tahoma" w:hAnsi="Tahoma" w:cs="Tahoma"/>
          <w:sz w:val="22"/>
          <w:szCs w:val="22"/>
          <w:vertAlign w:val="superscript"/>
        </w:rPr>
        <w:t>η</w:t>
      </w:r>
      <w:r w:rsidR="00633408" w:rsidRPr="00485A4C">
        <w:rPr>
          <w:rFonts w:ascii="Tahoma" w:hAnsi="Tahoma" w:cs="Tahoma"/>
          <w:sz w:val="22"/>
          <w:szCs w:val="22"/>
        </w:rPr>
        <w:t xml:space="preserve"> </w:t>
      </w:r>
      <w:r w:rsidR="00F109F8" w:rsidRPr="00485A4C">
        <w:rPr>
          <w:rFonts w:ascii="Tahoma" w:hAnsi="Tahoma" w:cs="Tahoma"/>
          <w:sz w:val="22"/>
          <w:szCs w:val="22"/>
        </w:rPr>
        <w:t>Αυγούστου</w:t>
      </w:r>
      <w:r w:rsidR="00606F21" w:rsidRPr="00485A4C">
        <w:rPr>
          <w:rFonts w:ascii="Tahoma" w:hAnsi="Tahoma" w:cs="Tahoma"/>
          <w:sz w:val="22"/>
          <w:szCs w:val="22"/>
        </w:rPr>
        <w:t xml:space="preserve"> 20</w:t>
      </w:r>
      <w:r w:rsidR="00574524" w:rsidRPr="00485A4C">
        <w:rPr>
          <w:rFonts w:ascii="Tahoma" w:hAnsi="Tahoma" w:cs="Tahoma"/>
          <w:sz w:val="22"/>
          <w:szCs w:val="22"/>
        </w:rPr>
        <w:t>1</w:t>
      </w:r>
      <w:r w:rsidR="00E87405" w:rsidRPr="00485A4C">
        <w:rPr>
          <w:rFonts w:ascii="Tahoma" w:hAnsi="Tahoma" w:cs="Tahoma"/>
          <w:sz w:val="22"/>
          <w:szCs w:val="22"/>
        </w:rPr>
        <w:t>9</w:t>
      </w:r>
      <w:r w:rsidRPr="00485A4C">
        <w:rPr>
          <w:rFonts w:ascii="Tahoma" w:hAnsi="Tahoma" w:cs="Tahoma"/>
          <w:sz w:val="22"/>
          <w:szCs w:val="22"/>
        </w:rPr>
        <w:t xml:space="preserve"> και έχουν δημοσιοποιηθεί με την ανάρτησή τους στο διαδίκτυο, στην διεύθυνση, </w:t>
      </w:r>
      <w:r w:rsidR="00E87405" w:rsidRPr="00485A4C">
        <w:fldChar w:fldCharType="begin"/>
      </w:r>
      <w:r w:rsidR="00E87405" w:rsidRPr="00485A4C">
        <w:rPr>
          <w:rFonts w:ascii="Tahoma" w:hAnsi="Tahoma" w:cs="Tahoma"/>
        </w:rPr>
        <w:instrText xml:space="preserve"> HYPERLINK "http://www.pilioicecream.com" </w:instrText>
      </w:r>
      <w:r w:rsidR="00E87405" w:rsidRPr="00485A4C">
        <w:fldChar w:fldCharType="separate"/>
      </w:r>
      <w:r w:rsidR="00751B74" w:rsidRPr="00485A4C">
        <w:rPr>
          <w:rStyle w:val="Hyperlink"/>
          <w:rFonts w:ascii="Tahoma" w:hAnsi="Tahoma" w:cs="Tahoma"/>
          <w:sz w:val="22"/>
          <w:szCs w:val="22"/>
          <w:lang w:val="en-US"/>
        </w:rPr>
        <w:t>www</w:t>
      </w:r>
      <w:r w:rsidR="00751B74" w:rsidRPr="00485A4C">
        <w:rPr>
          <w:rStyle w:val="Hyperlink"/>
          <w:rFonts w:ascii="Tahoma" w:hAnsi="Tahoma" w:cs="Tahoma"/>
          <w:sz w:val="22"/>
          <w:szCs w:val="22"/>
        </w:rPr>
        <w:t>.pilioicecream.com</w:t>
      </w:r>
      <w:r w:rsidR="00E87405" w:rsidRPr="00485A4C">
        <w:rPr>
          <w:rStyle w:val="Hyperlink"/>
          <w:rFonts w:ascii="Tahoma" w:hAnsi="Tahoma" w:cs="Tahoma"/>
          <w:sz w:val="22"/>
          <w:szCs w:val="22"/>
        </w:rPr>
        <w:fldChar w:fldCharType="end"/>
      </w:r>
      <w:r w:rsidRPr="00485A4C">
        <w:rPr>
          <w:rFonts w:ascii="Tahoma" w:hAnsi="Tahoma" w:cs="Tahoma"/>
          <w:sz w:val="22"/>
          <w:szCs w:val="22"/>
        </w:rPr>
        <w:t xml:space="preserve">. </w:t>
      </w:r>
    </w:p>
    <w:p w:rsidR="00333B52" w:rsidRPr="00485A4C" w:rsidRDefault="00333B52" w:rsidP="00330BCE">
      <w:pPr>
        <w:spacing w:line="360" w:lineRule="auto"/>
        <w:ind w:left="-540" w:firstLine="900"/>
        <w:jc w:val="both"/>
        <w:rPr>
          <w:rFonts w:ascii="Tahoma" w:hAnsi="Tahoma" w:cs="Tahoma"/>
          <w:sz w:val="22"/>
          <w:szCs w:val="22"/>
          <w:highlight w:val="red"/>
        </w:rPr>
      </w:pPr>
      <w:r w:rsidRPr="00485A4C">
        <w:rPr>
          <w:rFonts w:ascii="Tahoma" w:hAnsi="Tahoma" w:cs="Tahoma"/>
          <w:sz w:val="22"/>
          <w:szCs w:val="22"/>
        </w:rPr>
        <w:t>Εξ</w:t>
      </w:r>
      <w:r w:rsidR="004C7D5A" w:rsidRPr="00485A4C">
        <w:rPr>
          <w:rFonts w:ascii="Tahoma" w:hAnsi="Tahoma" w:cs="Tahoma"/>
          <w:sz w:val="22"/>
          <w:szCs w:val="22"/>
        </w:rPr>
        <w:t>’</w:t>
      </w:r>
      <w:r w:rsidRPr="00485A4C">
        <w:rPr>
          <w:rFonts w:ascii="Tahoma" w:hAnsi="Tahoma" w:cs="Tahoma"/>
          <w:sz w:val="22"/>
          <w:szCs w:val="22"/>
        </w:rPr>
        <w:t xml:space="preserve"> όσων γνωρίζουμε οι ετήσιες οικονομικές καταστάσεις, που καταρτίσθηκαν σύμφωνα με τα Διεθνή Πρότυπα Χρηματοοικονομικής </w:t>
      </w:r>
      <w:r w:rsidR="00606F21" w:rsidRPr="00485A4C">
        <w:rPr>
          <w:rFonts w:ascii="Tahoma" w:hAnsi="Tahoma" w:cs="Tahoma"/>
          <w:sz w:val="22"/>
          <w:szCs w:val="22"/>
        </w:rPr>
        <w:t>Αναφοράς</w:t>
      </w:r>
      <w:r w:rsidRPr="00485A4C">
        <w:rPr>
          <w:rFonts w:ascii="Tahoma" w:hAnsi="Tahoma" w:cs="Tahoma"/>
          <w:sz w:val="22"/>
          <w:szCs w:val="22"/>
        </w:rPr>
        <w:t xml:space="preserve"> και παρατίθενται στις σελίδες </w:t>
      </w:r>
      <w:r w:rsidR="0027617E" w:rsidRPr="00485A4C">
        <w:rPr>
          <w:rFonts w:ascii="Tahoma" w:hAnsi="Tahoma" w:cs="Tahoma"/>
          <w:sz w:val="22"/>
          <w:szCs w:val="22"/>
        </w:rPr>
        <w:t>από</w:t>
      </w:r>
      <w:r w:rsidR="0027617E" w:rsidRPr="00D94651">
        <w:rPr>
          <w:rFonts w:ascii="Tahoma" w:hAnsi="Tahoma" w:cs="Tahoma"/>
          <w:sz w:val="22"/>
          <w:szCs w:val="22"/>
        </w:rPr>
        <w:t xml:space="preserve"> </w:t>
      </w:r>
      <w:r w:rsidR="0065783D" w:rsidRPr="00D94651">
        <w:rPr>
          <w:rFonts w:ascii="Tahoma" w:hAnsi="Tahoma" w:cs="Tahoma"/>
          <w:sz w:val="22"/>
          <w:szCs w:val="22"/>
        </w:rPr>
        <w:t>1</w:t>
      </w:r>
      <w:r w:rsidR="0025494D" w:rsidRPr="00D94651">
        <w:rPr>
          <w:rFonts w:ascii="Tahoma" w:hAnsi="Tahoma" w:cs="Tahoma"/>
          <w:sz w:val="22"/>
          <w:szCs w:val="22"/>
          <w:lang w:val="en-US"/>
        </w:rPr>
        <w:t>0</w:t>
      </w:r>
      <w:r w:rsidRPr="00485A4C">
        <w:rPr>
          <w:rFonts w:ascii="Tahoma" w:hAnsi="Tahoma" w:cs="Tahoma"/>
          <w:sz w:val="22"/>
          <w:szCs w:val="22"/>
        </w:rPr>
        <w:t xml:space="preserve"> έως και</w:t>
      </w:r>
      <w:r w:rsidR="00D94651">
        <w:rPr>
          <w:rFonts w:ascii="Tahoma" w:hAnsi="Tahoma" w:cs="Tahoma"/>
          <w:sz w:val="22"/>
          <w:szCs w:val="22"/>
          <w:lang w:val="en-US"/>
        </w:rPr>
        <w:t xml:space="preserve"> 53, </w:t>
      </w:r>
      <w:r w:rsidRPr="00485A4C">
        <w:rPr>
          <w:rFonts w:ascii="Tahoma" w:hAnsi="Tahoma" w:cs="Tahoma"/>
          <w:sz w:val="22"/>
          <w:szCs w:val="22"/>
        </w:rPr>
        <w:t>απεικονίζουν κατά τρόπο αληθή τα στοιχεία του ενεργητικού και παθητικού, την καθαρή θέση και τα αποτελέσματα χρήσεως της εταιρείας. Η  έκθεση του διοικητικού συμβουλίου απεικονίζει κατά τρόπο αληθή την εξέλιξη, τις επιδό</w:t>
      </w:r>
      <w:r w:rsidR="00BE366B" w:rsidRPr="00485A4C">
        <w:rPr>
          <w:rFonts w:ascii="Tahoma" w:hAnsi="Tahoma" w:cs="Tahoma"/>
          <w:sz w:val="22"/>
          <w:szCs w:val="22"/>
        </w:rPr>
        <w:t>σεις και τη θέση της εταιρείας</w:t>
      </w:r>
      <w:r w:rsidRPr="00485A4C">
        <w:rPr>
          <w:rFonts w:ascii="Tahoma" w:hAnsi="Tahoma" w:cs="Tahoma"/>
          <w:sz w:val="22"/>
          <w:szCs w:val="22"/>
        </w:rPr>
        <w:t>, συμπεριλαμβανομένης της περιγραφής των κυρι</w:t>
      </w:r>
      <w:r w:rsidR="009072F9" w:rsidRPr="00485A4C">
        <w:rPr>
          <w:rFonts w:ascii="Tahoma" w:hAnsi="Tahoma" w:cs="Tahoma"/>
          <w:sz w:val="22"/>
          <w:szCs w:val="22"/>
          <w:lang w:val="en-US"/>
        </w:rPr>
        <w:t>o</w:t>
      </w:r>
      <w:r w:rsidRPr="00485A4C">
        <w:rPr>
          <w:rFonts w:ascii="Tahoma" w:hAnsi="Tahoma" w:cs="Tahoma"/>
          <w:sz w:val="22"/>
          <w:szCs w:val="22"/>
        </w:rPr>
        <w:t>τ</w:t>
      </w:r>
      <w:r w:rsidR="009072F9" w:rsidRPr="00485A4C">
        <w:rPr>
          <w:rFonts w:ascii="Tahoma" w:hAnsi="Tahoma" w:cs="Tahoma"/>
          <w:sz w:val="22"/>
          <w:szCs w:val="22"/>
        </w:rPr>
        <w:t>έ</w:t>
      </w:r>
      <w:r w:rsidRPr="00485A4C">
        <w:rPr>
          <w:rFonts w:ascii="Tahoma" w:hAnsi="Tahoma" w:cs="Tahoma"/>
          <w:sz w:val="22"/>
          <w:szCs w:val="22"/>
        </w:rPr>
        <w:t>ρων κινδύνων και αβεβαιοτήτων που αντιμετωπίζουν.</w:t>
      </w:r>
    </w:p>
    <w:p w:rsidR="00333B52" w:rsidRPr="00485A4C" w:rsidRDefault="00333B52" w:rsidP="00333B52">
      <w:pPr>
        <w:ind w:left="720"/>
        <w:rPr>
          <w:rFonts w:ascii="Tahoma" w:hAnsi="Tahoma" w:cs="Tahoma"/>
          <w:sz w:val="22"/>
          <w:szCs w:val="22"/>
          <w:highlight w:val="red"/>
        </w:rPr>
      </w:pPr>
    </w:p>
    <w:p w:rsidR="00333B52" w:rsidRPr="00485A4C" w:rsidRDefault="00333B52" w:rsidP="00333B52">
      <w:pPr>
        <w:ind w:left="720"/>
        <w:rPr>
          <w:rFonts w:ascii="Tahoma" w:hAnsi="Tahoma" w:cs="Tahoma"/>
          <w:sz w:val="22"/>
          <w:szCs w:val="22"/>
        </w:rPr>
      </w:pPr>
    </w:p>
    <w:p w:rsidR="00333B52" w:rsidRPr="00485A4C" w:rsidRDefault="00333B52" w:rsidP="00333B52">
      <w:pPr>
        <w:ind w:left="720"/>
        <w:rPr>
          <w:rFonts w:ascii="Tahoma" w:hAnsi="Tahoma" w:cs="Tahoma"/>
          <w:sz w:val="22"/>
          <w:szCs w:val="22"/>
        </w:rPr>
      </w:pPr>
    </w:p>
    <w:tbl>
      <w:tblPr>
        <w:tblW w:w="0" w:type="auto"/>
        <w:tblLook w:val="01E0" w:firstRow="1" w:lastRow="1" w:firstColumn="1" w:lastColumn="1" w:noHBand="0" w:noVBand="0"/>
      </w:tblPr>
      <w:tblGrid>
        <w:gridCol w:w="4264"/>
        <w:gridCol w:w="4264"/>
      </w:tblGrid>
      <w:tr w:rsidR="00333B52" w:rsidRPr="00485A4C">
        <w:tc>
          <w:tcPr>
            <w:tcW w:w="4264" w:type="dxa"/>
          </w:tcPr>
          <w:p w:rsidR="00333B52" w:rsidRPr="00485A4C" w:rsidRDefault="00333B52" w:rsidP="00BF4CA2">
            <w:pPr>
              <w:autoSpaceDE w:val="0"/>
              <w:autoSpaceDN w:val="0"/>
              <w:adjustRightInd w:val="0"/>
              <w:jc w:val="center"/>
              <w:rPr>
                <w:rFonts w:ascii="Tahoma" w:hAnsi="Tahoma" w:cs="Tahoma"/>
                <w:sz w:val="22"/>
                <w:szCs w:val="22"/>
              </w:rPr>
            </w:pPr>
            <w:r w:rsidRPr="00485A4C">
              <w:rPr>
                <w:rFonts w:ascii="Tahoma" w:hAnsi="Tahoma" w:cs="Tahoma"/>
                <w:sz w:val="22"/>
                <w:szCs w:val="22"/>
              </w:rPr>
              <w:t xml:space="preserve">Ο Πρόεδρος </w:t>
            </w:r>
            <w:r w:rsidR="00A85985" w:rsidRPr="00485A4C">
              <w:rPr>
                <w:rFonts w:ascii="Tahoma" w:hAnsi="Tahoma" w:cs="Tahoma"/>
                <w:sz w:val="22"/>
                <w:szCs w:val="22"/>
              </w:rPr>
              <w:t xml:space="preserve">του Διοικητικού Συμβουλίου </w:t>
            </w:r>
            <w:r w:rsidRPr="00485A4C">
              <w:rPr>
                <w:rFonts w:ascii="Tahoma" w:hAnsi="Tahoma" w:cs="Tahoma"/>
                <w:sz w:val="22"/>
                <w:szCs w:val="22"/>
              </w:rPr>
              <w:t xml:space="preserve">και Διευθύνων Σύμβουλος </w:t>
            </w:r>
          </w:p>
          <w:p w:rsidR="00333B52" w:rsidRPr="00485A4C" w:rsidRDefault="00333B52" w:rsidP="00BF4CA2">
            <w:pPr>
              <w:autoSpaceDE w:val="0"/>
              <w:autoSpaceDN w:val="0"/>
              <w:adjustRightInd w:val="0"/>
              <w:jc w:val="center"/>
              <w:rPr>
                <w:rFonts w:ascii="Tahoma" w:hAnsi="Tahoma" w:cs="Tahoma"/>
                <w:sz w:val="22"/>
                <w:szCs w:val="22"/>
              </w:rPr>
            </w:pPr>
          </w:p>
          <w:p w:rsidR="00333B52" w:rsidRPr="00485A4C" w:rsidRDefault="00333B52" w:rsidP="00BF4CA2">
            <w:pPr>
              <w:autoSpaceDE w:val="0"/>
              <w:autoSpaceDN w:val="0"/>
              <w:adjustRightInd w:val="0"/>
              <w:jc w:val="center"/>
              <w:rPr>
                <w:rFonts w:ascii="Tahoma" w:hAnsi="Tahoma" w:cs="Tahoma"/>
                <w:sz w:val="22"/>
                <w:szCs w:val="22"/>
              </w:rPr>
            </w:pPr>
          </w:p>
          <w:p w:rsidR="00333B52" w:rsidRPr="00485A4C" w:rsidRDefault="00333B52" w:rsidP="00BF4CA2">
            <w:pPr>
              <w:pStyle w:val="METKA"/>
              <w:spacing w:after="0" w:line="240" w:lineRule="auto"/>
              <w:jc w:val="center"/>
              <w:rPr>
                <w:rFonts w:ascii="Tahoma" w:hAnsi="Tahoma" w:cs="Tahoma"/>
                <w:szCs w:val="22"/>
              </w:rPr>
            </w:pPr>
          </w:p>
        </w:tc>
        <w:tc>
          <w:tcPr>
            <w:tcW w:w="4264" w:type="dxa"/>
          </w:tcPr>
          <w:p w:rsidR="00333B52" w:rsidRPr="00485A4C" w:rsidRDefault="00547C3B" w:rsidP="00BF4CA2">
            <w:pPr>
              <w:pStyle w:val="METKA"/>
              <w:spacing w:after="0" w:line="240" w:lineRule="auto"/>
              <w:jc w:val="center"/>
              <w:rPr>
                <w:rFonts w:ascii="Tahoma" w:hAnsi="Tahoma" w:cs="Tahoma"/>
                <w:szCs w:val="22"/>
              </w:rPr>
            </w:pPr>
            <w:r w:rsidRPr="00485A4C">
              <w:rPr>
                <w:rFonts w:ascii="Tahoma" w:hAnsi="Tahoma" w:cs="Tahoma"/>
                <w:szCs w:val="22"/>
              </w:rPr>
              <w:t>Ο</w:t>
            </w:r>
            <w:r w:rsidR="00333B52" w:rsidRPr="00485A4C">
              <w:rPr>
                <w:rFonts w:ascii="Tahoma" w:hAnsi="Tahoma" w:cs="Tahoma"/>
                <w:szCs w:val="22"/>
              </w:rPr>
              <w:t xml:space="preserve"> Αντιπρόεδρος του Διοικητικού Συμβουλίου</w:t>
            </w:r>
          </w:p>
        </w:tc>
      </w:tr>
      <w:tr w:rsidR="00333B52" w:rsidRPr="00485A4C">
        <w:tc>
          <w:tcPr>
            <w:tcW w:w="4264" w:type="dxa"/>
          </w:tcPr>
          <w:p w:rsidR="00C4516E" w:rsidRPr="00485A4C" w:rsidRDefault="000E78AC" w:rsidP="00BF4CA2">
            <w:pPr>
              <w:pStyle w:val="METKA"/>
              <w:spacing w:after="0" w:line="240" w:lineRule="auto"/>
              <w:jc w:val="center"/>
              <w:rPr>
                <w:rFonts w:ascii="Tahoma" w:hAnsi="Tahoma" w:cs="Tahoma"/>
                <w:szCs w:val="22"/>
              </w:rPr>
            </w:pPr>
            <w:r w:rsidRPr="00485A4C">
              <w:rPr>
                <w:rFonts w:ascii="Tahoma" w:hAnsi="Tahoma" w:cs="Tahoma"/>
                <w:szCs w:val="22"/>
              </w:rPr>
              <w:t>ΠΕΠΟΝΟΠΟΥΛΟΣ ΕΜΜ. ΣΤΕΛΙΟΣ</w:t>
            </w:r>
          </w:p>
          <w:p w:rsidR="00315CCE" w:rsidRPr="00485A4C" w:rsidRDefault="00315CCE" w:rsidP="00BF4CA2">
            <w:pPr>
              <w:pStyle w:val="METKA"/>
              <w:spacing w:after="0" w:line="240" w:lineRule="auto"/>
              <w:jc w:val="center"/>
              <w:rPr>
                <w:rFonts w:ascii="Tahoma" w:hAnsi="Tahoma" w:cs="Tahoma"/>
                <w:szCs w:val="22"/>
              </w:rPr>
            </w:pPr>
            <w:r w:rsidRPr="00485A4C">
              <w:rPr>
                <w:rFonts w:ascii="Tahoma" w:hAnsi="Tahoma" w:cs="Tahoma"/>
                <w:szCs w:val="22"/>
              </w:rPr>
              <w:t>Α.Δ.Τ.</w:t>
            </w:r>
            <w:r w:rsidR="005107ED" w:rsidRPr="00485A4C">
              <w:rPr>
                <w:rFonts w:ascii="Tahoma" w:hAnsi="Tahoma" w:cs="Tahoma"/>
                <w:szCs w:val="22"/>
              </w:rPr>
              <w:t xml:space="preserve"> : Φ 477097</w:t>
            </w:r>
            <w:r w:rsidRPr="00485A4C">
              <w:rPr>
                <w:rFonts w:ascii="Tahoma" w:hAnsi="Tahoma" w:cs="Tahoma"/>
                <w:szCs w:val="22"/>
              </w:rPr>
              <w:t xml:space="preserve"> </w:t>
            </w:r>
          </w:p>
        </w:tc>
        <w:tc>
          <w:tcPr>
            <w:tcW w:w="4264" w:type="dxa"/>
          </w:tcPr>
          <w:p w:rsidR="00C4516E" w:rsidRPr="00485A4C" w:rsidRDefault="000E78AC" w:rsidP="00BF4CA2">
            <w:pPr>
              <w:pStyle w:val="METKA"/>
              <w:spacing w:after="0" w:line="240" w:lineRule="auto"/>
              <w:jc w:val="center"/>
              <w:rPr>
                <w:rFonts w:ascii="Tahoma" w:hAnsi="Tahoma" w:cs="Tahoma"/>
                <w:szCs w:val="22"/>
              </w:rPr>
            </w:pPr>
            <w:r w:rsidRPr="00485A4C">
              <w:rPr>
                <w:rFonts w:ascii="Tahoma" w:hAnsi="Tahoma" w:cs="Tahoma"/>
                <w:szCs w:val="22"/>
              </w:rPr>
              <w:t>ΠΕΠΟΝΟΠΟΥΛΟΣ ΣΤΥΛ. ΒΑΣΙΛΕΙΟΣ</w:t>
            </w:r>
          </w:p>
          <w:p w:rsidR="00315CCE" w:rsidRPr="00485A4C" w:rsidRDefault="00315CCE" w:rsidP="00BF4CA2">
            <w:pPr>
              <w:pStyle w:val="METKA"/>
              <w:spacing w:after="0" w:line="240" w:lineRule="auto"/>
              <w:jc w:val="center"/>
              <w:rPr>
                <w:rFonts w:ascii="Tahoma" w:hAnsi="Tahoma" w:cs="Tahoma"/>
                <w:szCs w:val="22"/>
              </w:rPr>
            </w:pPr>
            <w:r w:rsidRPr="00485A4C">
              <w:rPr>
                <w:rFonts w:ascii="Tahoma" w:hAnsi="Tahoma" w:cs="Tahoma"/>
                <w:szCs w:val="22"/>
              </w:rPr>
              <w:t>Α.Δ.Τ.</w:t>
            </w:r>
            <w:r w:rsidR="005107ED" w:rsidRPr="00485A4C">
              <w:rPr>
                <w:rFonts w:ascii="Tahoma" w:hAnsi="Tahoma" w:cs="Tahoma"/>
                <w:szCs w:val="22"/>
              </w:rPr>
              <w:t xml:space="preserve"> : ΑΒ 851045</w:t>
            </w:r>
            <w:r w:rsidRPr="00485A4C">
              <w:rPr>
                <w:rFonts w:ascii="Tahoma" w:hAnsi="Tahoma" w:cs="Tahoma"/>
                <w:szCs w:val="22"/>
              </w:rPr>
              <w:t xml:space="preserve"> </w:t>
            </w:r>
          </w:p>
        </w:tc>
      </w:tr>
    </w:tbl>
    <w:p w:rsidR="00333B52" w:rsidRPr="00485A4C" w:rsidRDefault="00315CCE" w:rsidP="00315CCE">
      <w:pPr>
        <w:autoSpaceDE w:val="0"/>
        <w:autoSpaceDN w:val="0"/>
        <w:adjustRightInd w:val="0"/>
        <w:rPr>
          <w:rFonts w:ascii="Tahoma" w:hAnsi="Tahoma" w:cs="Tahoma"/>
          <w:sz w:val="22"/>
          <w:szCs w:val="22"/>
        </w:rPr>
      </w:pPr>
      <w:r w:rsidRPr="00485A4C">
        <w:rPr>
          <w:rFonts w:ascii="Tahoma" w:hAnsi="Tahoma" w:cs="Tahoma"/>
          <w:sz w:val="22"/>
          <w:szCs w:val="22"/>
        </w:rPr>
        <w:t xml:space="preserve">                     </w:t>
      </w:r>
    </w:p>
    <w:p w:rsidR="00333B52" w:rsidRPr="00485A4C" w:rsidRDefault="00333B52" w:rsidP="00333B52">
      <w:pPr>
        <w:autoSpaceDE w:val="0"/>
        <w:autoSpaceDN w:val="0"/>
        <w:adjustRightInd w:val="0"/>
        <w:ind w:left="720"/>
        <w:rPr>
          <w:rFonts w:ascii="Tahoma" w:hAnsi="Tahoma" w:cs="Tahoma"/>
          <w:sz w:val="22"/>
          <w:szCs w:val="22"/>
        </w:rPr>
      </w:pPr>
    </w:p>
    <w:p w:rsidR="00333B52" w:rsidRPr="00485A4C" w:rsidRDefault="00333B52" w:rsidP="00333B52">
      <w:pPr>
        <w:autoSpaceDE w:val="0"/>
        <w:autoSpaceDN w:val="0"/>
        <w:adjustRightInd w:val="0"/>
        <w:ind w:left="720"/>
        <w:rPr>
          <w:rFonts w:ascii="Tahoma" w:hAnsi="Tahoma" w:cs="Tahoma"/>
          <w:sz w:val="22"/>
          <w:szCs w:val="22"/>
        </w:rPr>
      </w:pPr>
    </w:p>
    <w:tbl>
      <w:tblPr>
        <w:tblW w:w="0" w:type="auto"/>
        <w:tblLook w:val="01E0" w:firstRow="1" w:lastRow="1" w:firstColumn="1" w:lastColumn="1" w:noHBand="0" w:noVBand="0"/>
      </w:tblPr>
      <w:tblGrid>
        <w:gridCol w:w="8528"/>
      </w:tblGrid>
      <w:tr w:rsidR="00333B52" w:rsidRPr="00485A4C">
        <w:tc>
          <w:tcPr>
            <w:tcW w:w="8528" w:type="dxa"/>
          </w:tcPr>
          <w:p w:rsidR="00C4516E" w:rsidRPr="00485A4C" w:rsidRDefault="00C4516E" w:rsidP="00C4516E">
            <w:pPr>
              <w:autoSpaceDE w:val="0"/>
              <w:autoSpaceDN w:val="0"/>
              <w:adjustRightInd w:val="0"/>
              <w:jc w:val="center"/>
              <w:rPr>
                <w:rFonts w:ascii="Tahoma" w:hAnsi="Tahoma" w:cs="Tahoma"/>
                <w:iCs/>
                <w:sz w:val="22"/>
                <w:szCs w:val="22"/>
              </w:rPr>
            </w:pPr>
            <w:r w:rsidRPr="00485A4C">
              <w:rPr>
                <w:rFonts w:ascii="Tahoma" w:hAnsi="Tahoma" w:cs="Tahoma"/>
                <w:iCs/>
                <w:sz w:val="22"/>
                <w:szCs w:val="22"/>
              </w:rPr>
              <w:t>Ο Υπεύθυνος Λογιστηρίου</w:t>
            </w:r>
          </w:p>
          <w:p w:rsidR="00C4516E" w:rsidRPr="00485A4C" w:rsidRDefault="00C4516E" w:rsidP="00C4516E">
            <w:pPr>
              <w:autoSpaceDE w:val="0"/>
              <w:autoSpaceDN w:val="0"/>
              <w:adjustRightInd w:val="0"/>
              <w:jc w:val="center"/>
              <w:rPr>
                <w:rFonts w:ascii="Tahoma" w:hAnsi="Tahoma" w:cs="Tahoma"/>
                <w:i/>
                <w:iCs/>
                <w:sz w:val="22"/>
                <w:szCs w:val="22"/>
              </w:rPr>
            </w:pPr>
          </w:p>
          <w:p w:rsidR="00C4516E" w:rsidRPr="00485A4C" w:rsidRDefault="00C4516E" w:rsidP="00C4516E">
            <w:pPr>
              <w:autoSpaceDE w:val="0"/>
              <w:autoSpaceDN w:val="0"/>
              <w:adjustRightInd w:val="0"/>
              <w:jc w:val="center"/>
              <w:rPr>
                <w:rFonts w:ascii="Tahoma" w:hAnsi="Tahoma" w:cs="Tahoma"/>
                <w:i/>
                <w:iCs/>
                <w:sz w:val="22"/>
                <w:szCs w:val="22"/>
              </w:rPr>
            </w:pPr>
          </w:p>
          <w:p w:rsidR="00C4516E" w:rsidRPr="00485A4C" w:rsidRDefault="00C4516E" w:rsidP="00C4516E">
            <w:pPr>
              <w:autoSpaceDE w:val="0"/>
              <w:autoSpaceDN w:val="0"/>
              <w:adjustRightInd w:val="0"/>
              <w:jc w:val="center"/>
              <w:rPr>
                <w:rFonts w:ascii="Tahoma" w:hAnsi="Tahoma" w:cs="Tahoma"/>
                <w:i/>
                <w:iCs/>
                <w:sz w:val="22"/>
                <w:szCs w:val="22"/>
              </w:rPr>
            </w:pPr>
          </w:p>
          <w:p w:rsidR="00C4516E" w:rsidRPr="00485A4C" w:rsidRDefault="00C4516E" w:rsidP="00C4516E">
            <w:pPr>
              <w:autoSpaceDE w:val="0"/>
              <w:autoSpaceDN w:val="0"/>
              <w:adjustRightInd w:val="0"/>
              <w:jc w:val="center"/>
              <w:rPr>
                <w:rFonts w:ascii="Tahoma" w:hAnsi="Tahoma" w:cs="Tahoma"/>
                <w:sz w:val="22"/>
                <w:szCs w:val="22"/>
              </w:rPr>
            </w:pPr>
          </w:p>
          <w:p w:rsidR="00E216AC" w:rsidRPr="00485A4C" w:rsidRDefault="00315CCE" w:rsidP="00F109F8">
            <w:pPr>
              <w:autoSpaceDE w:val="0"/>
              <w:autoSpaceDN w:val="0"/>
              <w:adjustRightInd w:val="0"/>
              <w:jc w:val="center"/>
              <w:rPr>
                <w:rFonts w:ascii="Tahoma" w:hAnsi="Tahoma" w:cs="Tahoma"/>
                <w:sz w:val="22"/>
                <w:szCs w:val="22"/>
              </w:rPr>
            </w:pPr>
            <w:r w:rsidRPr="00485A4C">
              <w:rPr>
                <w:rFonts w:ascii="Tahoma" w:hAnsi="Tahoma" w:cs="Tahoma"/>
                <w:sz w:val="22"/>
                <w:szCs w:val="22"/>
              </w:rPr>
              <w:t>Πιερής Κωνσταντίνου</w:t>
            </w:r>
          </w:p>
          <w:p w:rsidR="00315CCE" w:rsidRPr="00485A4C" w:rsidRDefault="00315CCE" w:rsidP="00315CCE">
            <w:pPr>
              <w:autoSpaceDE w:val="0"/>
              <w:autoSpaceDN w:val="0"/>
              <w:adjustRightInd w:val="0"/>
              <w:jc w:val="center"/>
              <w:rPr>
                <w:rFonts w:ascii="Tahoma" w:hAnsi="Tahoma" w:cs="Tahoma"/>
                <w:sz w:val="22"/>
                <w:szCs w:val="22"/>
              </w:rPr>
            </w:pPr>
            <w:r w:rsidRPr="00485A4C">
              <w:rPr>
                <w:rFonts w:ascii="Tahoma" w:hAnsi="Tahoma" w:cs="Tahoma"/>
                <w:sz w:val="22"/>
                <w:szCs w:val="22"/>
              </w:rPr>
              <w:t>ΑΔΤ Ρ 890352</w:t>
            </w:r>
          </w:p>
          <w:p w:rsidR="00315CCE" w:rsidRPr="00485A4C" w:rsidRDefault="00315CCE" w:rsidP="00315CCE">
            <w:pPr>
              <w:autoSpaceDE w:val="0"/>
              <w:autoSpaceDN w:val="0"/>
              <w:adjustRightInd w:val="0"/>
              <w:jc w:val="center"/>
              <w:rPr>
                <w:rFonts w:ascii="Tahoma" w:hAnsi="Tahoma" w:cs="Tahoma"/>
                <w:sz w:val="22"/>
                <w:szCs w:val="22"/>
              </w:rPr>
            </w:pPr>
            <w:r w:rsidRPr="00485A4C">
              <w:rPr>
                <w:rFonts w:ascii="Tahoma" w:hAnsi="Tahoma" w:cs="Tahoma"/>
                <w:sz w:val="22"/>
                <w:szCs w:val="22"/>
              </w:rPr>
              <w:t>ΑΡ. ΑΔΕΙΑΣ Α΄ ΤΑΞΗΣ 0019682</w:t>
            </w:r>
          </w:p>
          <w:p w:rsidR="00315CCE" w:rsidRPr="00485A4C" w:rsidRDefault="00315CCE" w:rsidP="00F109F8">
            <w:pPr>
              <w:autoSpaceDE w:val="0"/>
              <w:autoSpaceDN w:val="0"/>
              <w:adjustRightInd w:val="0"/>
              <w:jc w:val="center"/>
              <w:rPr>
                <w:rFonts w:ascii="Tahoma" w:hAnsi="Tahoma" w:cs="Tahoma"/>
                <w:sz w:val="22"/>
                <w:szCs w:val="22"/>
              </w:rPr>
            </w:pPr>
          </w:p>
        </w:tc>
      </w:tr>
      <w:tr w:rsidR="00333B52" w:rsidRPr="00485A4C">
        <w:tc>
          <w:tcPr>
            <w:tcW w:w="8528" w:type="dxa"/>
          </w:tcPr>
          <w:p w:rsidR="00333B52" w:rsidRPr="00485A4C" w:rsidRDefault="00333B52" w:rsidP="00BF4CA2">
            <w:pPr>
              <w:autoSpaceDE w:val="0"/>
              <w:autoSpaceDN w:val="0"/>
              <w:adjustRightInd w:val="0"/>
              <w:jc w:val="center"/>
              <w:rPr>
                <w:rFonts w:ascii="Tahoma" w:hAnsi="Tahoma" w:cs="Tahoma"/>
                <w:sz w:val="22"/>
                <w:szCs w:val="22"/>
              </w:rPr>
            </w:pPr>
          </w:p>
        </w:tc>
      </w:tr>
    </w:tbl>
    <w:p w:rsidR="00333B52" w:rsidRPr="00485A4C" w:rsidRDefault="00333B52" w:rsidP="00333B52">
      <w:pPr>
        <w:autoSpaceDE w:val="0"/>
        <w:autoSpaceDN w:val="0"/>
        <w:adjustRightInd w:val="0"/>
        <w:ind w:left="720"/>
        <w:jc w:val="both"/>
        <w:rPr>
          <w:rFonts w:ascii="Tahoma" w:hAnsi="Tahoma" w:cs="Tahoma"/>
          <w:sz w:val="22"/>
          <w:szCs w:val="22"/>
          <w:highlight w:val="red"/>
        </w:rPr>
      </w:pPr>
    </w:p>
    <w:p w:rsidR="00AC44E4" w:rsidRPr="00485A4C" w:rsidRDefault="00AC44E4" w:rsidP="00333B52">
      <w:pPr>
        <w:autoSpaceDE w:val="0"/>
        <w:autoSpaceDN w:val="0"/>
        <w:adjustRightInd w:val="0"/>
        <w:ind w:left="720"/>
        <w:jc w:val="both"/>
        <w:rPr>
          <w:rFonts w:ascii="Tahoma" w:hAnsi="Tahoma" w:cs="Tahoma"/>
          <w:sz w:val="22"/>
          <w:szCs w:val="22"/>
          <w:highlight w:val="red"/>
        </w:rPr>
      </w:pPr>
    </w:p>
    <w:p w:rsidR="00AC44E4" w:rsidRPr="00485A4C" w:rsidRDefault="00AC44E4" w:rsidP="00333B52">
      <w:pPr>
        <w:autoSpaceDE w:val="0"/>
        <w:autoSpaceDN w:val="0"/>
        <w:adjustRightInd w:val="0"/>
        <w:ind w:left="720"/>
        <w:jc w:val="both"/>
        <w:rPr>
          <w:rFonts w:ascii="Tahoma" w:hAnsi="Tahoma" w:cs="Tahoma"/>
          <w:sz w:val="22"/>
          <w:szCs w:val="22"/>
          <w:highlight w:val="red"/>
        </w:rPr>
      </w:pPr>
    </w:p>
    <w:p w:rsidR="00AC44E4" w:rsidRPr="00485A4C" w:rsidRDefault="00AC44E4" w:rsidP="00333B52">
      <w:pPr>
        <w:autoSpaceDE w:val="0"/>
        <w:autoSpaceDN w:val="0"/>
        <w:adjustRightInd w:val="0"/>
        <w:ind w:left="720"/>
        <w:jc w:val="both"/>
        <w:rPr>
          <w:rFonts w:ascii="Tahoma" w:hAnsi="Tahoma" w:cs="Tahoma"/>
          <w:sz w:val="22"/>
          <w:szCs w:val="22"/>
          <w:highlight w:val="red"/>
        </w:rPr>
      </w:pPr>
    </w:p>
    <w:p w:rsidR="00AC44E4" w:rsidRPr="00485A4C" w:rsidRDefault="00AC44E4" w:rsidP="00333B52">
      <w:pPr>
        <w:autoSpaceDE w:val="0"/>
        <w:autoSpaceDN w:val="0"/>
        <w:adjustRightInd w:val="0"/>
        <w:ind w:left="720"/>
        <w:jc w:val="both"/>
        <w:rPr>
          <w:rFonts w:ascii="Tahoma" w:hAnsi="Tahoma" w:cs="Tahoma"/>
          <w:sz w:val="22"/>
          <w:szCs w:val="22"/>
          <w:highlight w:val="red"/>
        </w:rPr>
      </w:pPr>
    </w:p>
    <w:p w:rsidR="00AC44E4" w:rsidRPr="00485A4C" w:rsidRDefault="00AC44E4" w:rsidP="00333B52">
      <w:pPr>
        <w:autoSpaceDE w:val="0"/>
        <w:autoSpaceDN w:val="0"/>
        <w:adjustRightInd w:val="0"/>
        <w:ind w:left="720"/>
        <w:jc w:val="both"/>
        <w:rPr>
          <w:rFonts w:ascii="Tahoma" w:hAnsi="Tahoma" w:cs="Tahoma"/>
          <w:sz w:val="22"/>
          <w:szCs w:val="22"/>
          <w:highlight w:val="red"/>
        </w:rPr>
      </w:pPr>
    </w:p>
    <w:p w:rsidR="00AC44E4" w:rsidRPr="00485A4C" w:rsidRDefault="00AC44E4" w:rsidP="00333B52">
      <w:pPr>
        <w:autoSpaceDE w:val="0"/>
        <w:autoSpaceDN w:val="0"/>
        <w:adjustRightInd w:val="0"/>
        <w:ind w:left="720"/>
        <w:jc w:val="both"/>
        <w:rPr>
          <w:rFonts w:ascii="Tahoma" w:hAnsi="Tahoma" w:cs="Tahoma"/>
          <w:sz w:val="22"/>
          <w:szCs w:val="22"/>
          <w:highlight w:val="red"/>
        </w:rPr>
      </w:pPr>
    </w:p>
    <w:p w:rsidR="008529C7" w:rsidRPr="00485A4C" w:rsidRDefault="008529C7" w:rsidP="00333B52">
      <w:pPr>
        <w:autoSpaceDE w:val="0"/>
        <w:autoSpaceDN w:val="0"/>
        <w:adjustRightInd w:val="0"/>
        <w:ind w:left="720"/>
        <w:jc w:val="both"/>
        <w:rPr>
          <w:rFonts w:ascii="Tahoma" w:hAnsi="Tahoma" w:cs="Tahoma"/>
          <w:sz w:val="22"/>
          <w:szCs w:val="22"/>
          <w:highlight w:val="red"/>
        </w:rPr>
      </w:pPr>
    </w:p>
    <w:p w:rsidR="00AC44E4" w:rsidRPr="00485A4C" w:rsidRDefault="00AC44E4" w:rsidP="00333B52">
      <w:pPr>
        <w:autoSpaceDE w:val="0"/>
        <w:autoSpaceDN w:val="0"/>
        <w:adjustRightInd w:val="0"/>
        <w:ind w:left="720"/>
        <w:jc w:val="both"/>
        <w:rPr>
          <w:rFonts w:ascii="Tahoma" w:hAnsi="Tahoma" w:cs="Tahoma"/>
          <w:sz w:val="22"/>
          <w:szCs w:val="22"/>
          <w:highlight w:val="red"/>
        </w:rPr>
      </w:pPr>
    </w:p>
    <w:p w:rsidR="00EC65FF" w:rsidRPr="00485A4C" w:rsidRDefault="00EC65FF" w:rsidP="00333B52">
      <w:pPr>
        <w:autoSpaceDE w:val="0"/>
        <w:autoSpaceDN w:val="0"/>
        <w:adjustRightInd w:val="0"/>
        <w:ind w:left="720"/>
        <w:jc w:val="both"/>
        <w:rPr>
          <w:rFonts w:ascii="Tahoma" w:hAnsi="Tahoma" w:cs="Tahoma"/>
          <w:sz w:val="22"/>
          <w:szCs w:val="22"/>
          <w:highlight w:val="red"/>
        </w:rPr>
      </w:pPr>
    </w:p>
    <w:p w:rsidR="00EC65FF" w:rsidRPr="00485A4C" w:rsidRDefault="00EC65FF" w:rsidP="00333B52">
      <w:pPr>
        <w:autoSpaceDE w:val="0"/>
        <w:autoSpaceDN w:val="0"/>
        <w:adjustRightInd w:val="0"/>
        <w:ind w:left="720"/>
        <w:jc w:val="both"/>
        <w:rPr>
          <w:rFonts w:ascii="Tahoma" w:hAnsi="Tahoma" w:cs="Tahoma"/>
          <w:sz w:val="22"/>
          <w:szCs w:val="22"/>
          <w:highlight w:val="red"/>
        </w:rPr>
      </w:pPr>
    </w:p>
    <w:p w:rsidR="00E538A5" w:rsidRPr="00485A4C" w:rsidRDefault="00E538A5" w:rsidP="00333B52">
      <w:pPr>
        <w:autoSpaceDE w:val="0"/>
        <w:autoSpaceDN w:val="0"/>
        <w:adjustRightInd w:val="0"/>
        <w:ind w:left="720"/>
        <w:jc w:val="both"/>
        <w:rPr>
          <w:rFonts w:ascii="Tahoma" w:hAnsi="Tahoma" w:cs="Tahoma"/>
          <w:sz w:val="22"/>
          <w:szCs w:val="22"/>
          <w:highlight w:val="red"/>
        </w:rPr>
      </w:pPr>
    </w:p>
    <w:p w:rsidR="00E538A5" w:rsidRPr="00485A4C" w:rsidRDefault="00E538A5" w:rsidP="00333B52">
      <w:pPr>
        <w:autoSpaceDE w:val="0"/>
        <w:autoSpaceDN w:val="0"/>
        <w:adjustRightInd w:val="0"/>
        <w:ind w:left="720"/>
        <w:jc w:val="both"/>
        <w:rPr>
          <w:rFonts w:ascii="Tahoma" w:hAnsi="Tahoma" w:cs="Tahoma"/>
          <w:sz w:val="22"/>
          <w:szCs w:val="22"/>
          <w:highlight w:val="red"/>
        </w:rPr>
      </w:pPr>
    </w:p>
    <w:p w:rsidR="00EC65FF" w:rsidRPr="00485A4C" w:rsidRDefault="00EC65FF" w:rsidP="00333B52">
      <w:pPr>
        <w:autoSpaceDE w:val="0"/>
        <w:autoSpaceDN w:val="0"/>
        <w:adjustRightInd w:val="0"/>
        <w:ind w:left="720"/>
        <w:jc w:val="both"/>
        <w:rPr>
          <w:rFonts w:ascii="Tahoma" w:hAnsi="Tahoma" w:cs="Tahoma"/>
          <w:sz w:val="22"/>
          <w:szCs w:val="22"/>
          <w:highlight w:val="red"/>
        </w:rPr>
      </w:pPr>
    </w:p>
    <w:p w:rsidR="00467BE7" w:rsidRPr="00485A4C" w:rsidRDefault="00467BE7" w:rsidP="00333B52">
      <w:pPr>
        <w:autoSpaceDE w:val="0"/>
        <w:autoSpaceDN w:val="0"/>
        <w:adjustRightInd w:val="0"/>
        <w:ind w:left="720"/>
        <w:jc w:val="both"/>
        <w:rPr>
          <w:rFonts w:ascii="Tahoma" w:hAnsi="Tahoma" w:cs="Tahoma"/>
          <w:sz w:val="22"/>
          <w:szCs w:val="22"/>
          <w:highlight w:val="red"/>
        </w:rPr>
      </w:pPr>
    </w:p>
    <w:p w:rsidR="0094777C" w:rsidRPr="00485A4C" w:rsidRDefault="0094777C" w:rsidP="00333B52">
      <w:pPr>
        <w:autoSpaceDE w:val="0"/>
        <w:autoSpaceDN w:val="0"/>
        <w:adjustRightInd w:val="0"/>
        <w:ind w:left="720"/>
        <w:jc w:val="both"/>
        <w:rPr>
          <w:rFonts w:ascii="Tahoma" w:hAnsi="Tahoma" w:cs="Tahoma"/>
          <w:sz w:val="22"/>
          <w:szCs w:val="22"/>
          <w:highlight w:val="red"/>
        </w:rPr>
      </w:pPr>
    </w:p>
    <w:p w:rsidR="0094777C" w:rsidRPr="00485A4C" w:rsidRDefault="0094777C" w:rsidP="00333B52">
      <w:pPr>
        <w:autoSpaceDE w:val="0"/>
        <w:autoSpaceDN w:val="0"/>
        <w:adjustRightInd w:val="0"/>
        <w:ind w:left="720"/>
        <w:jc w:val="both"/>
        <w:rPr>
          <w:rFonts w:ascii="Tahoma" w:hAnsi="Tahoma" w:cs="Tahoma"/>
          <w:sz w:val="22"/>
          <w:szCs w:val="22"/>
          <w:highlight w:val="red"/>
        </w:rPr>
      </w:pPr>
    </w:p>
    <w:p w:rsidR="0094777C" w:rsidRPr="00485A4C" w:rsidRDefault="0094777C" w:rsidP="00333B52">
      <w:pPr>
        <w:autoSpaceDE w:val="0"/>
        <w:autoSpaceDN w:val="0"/>
        <w:adjustRightInd w:val="0"/>
        <w:ind w:left="720"/>
        <w:jc w:val="both"/>
        <w:rPr>
          <w:rFonts w:ascii="Tahoma" w:hAnsi="Tahoma" w:cs="Tahoma"/>
          <w:sz w:val="22"/>
          <w:szCs w:val="22"/>
          <w:highlight w:val="red"/>
        </w:rPr>
      </w:pPr>
    </w:p>
    <w:p w:rsidR="00AC44E4" w:rsidRPr="00485A4C" w:rsidRDefault="00AC44E4" w:rsidP="00AC44E4">
      <w:pPr>
        <w:pStyle w:val="Heading1"/>
        <w:numPr>
          <w:ilvl w:val="0"/>
          <w:numId w:val="4"/>
        </w:numPr>
        <w:spacing w:before="0" w:after="0"/>
        <w:rPr>
          <w:rFonts w:ascii="Tahoma" w:hAnsi="Tahoma" w:cs="Tahoma"/>
          <w:sz w:val="22"/>
          <w:szCs w:val="22"/>
        </w:rPr>
      </w:pPr>
      <w:bookmarkStart w:id="2" w:name="_Toc526260592"/>
      <w:r w:rsidRPr="00485A4C">
        <w:rPr>
          <w:rFonts w:ascii="Tahoma" w:hAnsi="Tahoma" w:cs="Tahoma"/>
          <w:sz w:val="22"/>
          <w:szCs w:val="22"/>
        </w:rPr>
        <w:t>Έκθεση Διαχείρισης Διοικητικού Συμβουλίου</w:t>
      </w:r>
      <w:bookmarkEnd w:id="2"/>
    </w:p>
    <w:p w:rsidR="00AC44E4" w:rsidRPr="00485A4C" w:rsidRDefault="00AC44E4" w:rsidP="00333B52">
      <w:pPr>
        <w:autoSpaceDE w:val="0"/>
        <w:autoSpaceDN w:val="0"/>
        <w:adjustRightInd w:val="0"/>
        <w:ind w:left="720"/>
        <w:jc w:val="both"/>
        <w:rPr>
          <w:rFonts w:ascii="Tahoma" w:hAnsi="Tahoma" w:cs="Tahoma"/>
          <w:sz w:val="22"/>
          <w:szCs w:val="22"/>
        </w:rPr>
      </w:pPr>
    </w:p>
    <w:p w:rsidR="0042352F" w:rsidRPr="00485A4C" w:rsidRDefault="0042352F" w:rsidP="00CF580E">
      <w:pPr>
        <w:ind w:left="-567"/>
        <w:jc w:val="center"/>
        <w:rPr>
          <w:rFonts w:ascii="Tahoma" w:hAnsi="Tahoma" w:cs="Tahoma"/>
          <w:b/>
          <w:bCs/>
          <w:iCs/>
          <w:sz w:val="22"/>
          <w:szCs w:val="22"/>
        </w:rPr>
      </w:pPr>
      <w:r w:rsidRPr="00485A4C">
        <w:rPr>
          <w:rFonts w:ascii="Tahoma" w:hAnsi="Tahoma" w:cs="Tahoma"/>
          <w:b/>
          <w:bCs/>
          <w:iCs/>
          <w:sz w:val="22"/>
          <w:szCs w:val="22"/>
        </w:rPr>
        <w:t>ΕΤΗΣΙΑ ΕΚΘΕΣΗ ΔΙΑΧΕΙΡΙΣΗΣ</w:t>
      </w:r>
      <w:r w:rsidR="00CF580E" w:rsidRPr="00485A4C">
        <w:rPr>
          <w:rFonts w:ascii="Tahoma" w:hAnsi="Tahoma" w:cs="Tahoma"/>
          <w:b/>
          <w:bCs/>
          <w:iCs/>
          <w:sz w:val="22"/>
          <w:szCs w:val="22"/>
        </w:rPr>
        <w:t xml:space="preserve"> </w:t>
      </w:r>
      <w:r w:rsidRPr="00485A4C">
        <w:rPr>
          <w:rFonts w:ascii="Tahoma" w:hAnsi="Tahoma" w:cs="Tahoma"/>
          <w:b/>
          <w:bCs/>
          <w:iCs/>
          <w:sz w:val="22"/>
          <w:szCs w:val="22"/>
        </w:rPr>
        <w:t>ΤΟΥ ΔΙΟΙΚΗΤΙΚΟΥ ΣΥΜΒΟΥΛΙΟΥ</w:t>
      </w:r>
    </w:p>
    <w:p w:rsidR="0042352F" w:rsidRPr="00485A4C" w:rsidRDefault="0042352F" w:rsidP="00CF580E">
      <w:pPr>
        <w:ind w:left="-567"/>
        <w:jc w:val="center"/>
        <w:rPr>
          <w:rFonts w:ascii="Tahoma" w:hAnsi="Tahoma" w:cs="Tahoma"/>
          <w:b/>
          <w:bCs/>
          <w:iCs/>
          <w:sz w:val="22"/>
          <w:szCs w:val="22"/>
        </w:rPr>
      </w:pPr>
      <w:r w:rsidRPr="00485A4C">
        <w:rPr>
          <w:rFonts w:ascii="Tahoma" w:hAnsi="Tahoma" w:cs="Tahoma"/>
          <w:b/>
          <w:bCs/>
          <w:iCs/>
          <w:sz w:val="22"/>
          <w:szCs w:val="22"/>
        </w:rPr>
        <w:t>ΠΡΟΣ ΤΗΝ ΤΑΚΤΙΚΗ ΓΕΝΙΚΗ ΣΥΝΕΛΕΥΣΗ ΤΩΝ ΜΕΤΟΧΩΝ</w:t>
      </w:r>
    </w:p>
    <w:p w:rsidR="0042352F" w:rsidRPr="00485A4C" w:rsidRDefault="0042352F" w:rsidP="00CF580E">
      <w:pPr>
        <w:ind w:left="-567"/>
        <w:jc w:val="center"/>
        <w:rPr>
          <w:rFonts w:ascii="Tahoma" w:hAnsi="Tahoma" w:cs="Tahoma"/>
          <w:b/>
          <w:bCs/>
          <w:iCs/>
          <w:sz w:val="22"/>
          <w:szCs w:val="22"/>
        </w:rPr>
      </w:pPr>
      <w:r w:rsidRPr="00485A4C">
        <w:rPr>
          <w:rFonts w:ascii="Tahoma" w:hAnsi="Tahoma" w:cs="Tahoma"/>
          <w:b/>
          <w:bCs/>
          <w:iCs/>
          <w:sz w:val="22"/>
          <w:szCs w:val="22"/>
        </w:rPr>
        <w:t>ΕΠΙ ΤΟΥ ΙΣΟΛΟΓΙΣΜΟΥ ΚΑΙ ΤΩΝ ΑΠΟΤΕΛΕΣΜΑΤΩΝ ΧΡΗΣΗΣ</w:t>
      </w:r>
    </w:p>
    <w:p w:rsidR="0042352F" w:rsidRPr="00485A4C" w:rsidRDefault="00467BE7" w:rsidP="00CF580E">
      <w:pPr>
        <w:ind w:left="-567"/>
        <w:jc w:val="center"/>
        <w:rPr>
          <w:rFonts w:ascii="Tahoma" w:hAnsi="Tahoma" w:cs="Tahoma"/>
          <w:b/>
          <w:bCs/>
          <w:iCs/>
          <w:sz w:val="22"/>
          <w:szCs w:val="22"/>
        </w:rPr>
      </w:pPr>
      <w:r w:rsidRPr="00485A4C">
        <w:rPr>
          <w:rFonts w:ascii="Tahoma" w:hAnsi="Tahoma" w:cs="Tahoma"/>
          <w:b/>
          <w:bCs/>
          <w:iCs/>
          <w:sz w:val="22"/>
          <w:szCs w:val="22"/>
        </w:rPr>
        <w:t>31.12.201</w:t>
      </w:r>
      <w:r w:rsidR="00E87405" w:rsidRPr="00485A4C">
        <w:rPr>
          <w:rFonts w:ascii="Tahoma" w:hAnsi="Tahoma" w:cs="Tahoma"/>
          <w:b/>
          <w:bCs/>
          <w:iCs/>
          <w:sz w:val="22"/>
          <w:szCs w:val="22"/>
        </w:rPr>
        <w:t>8</w:t>
      </w:r>
    </w:p>
    <w:p w:rsidR="0042352F" w:rsidRPr="00485A4C" w:rsidRDefault="0042352F" w:rsidP="00CF580E">
      <w:pPr>
        <w:ind w:left="-567"/>
        <w:jc w:val="both"/>
        <w:rPr>
          <w:rFonts w:ascii="Tahoma" w:hAnsi="Tahoma" w:cs="Tahoma"/>
          <w:b/>
          <w:bCs/>
          <w:iCs/>
          <w:sz w:val="22"/>
          <w:szCs w:val="22"/>
          <w:u w:val="single"/>
        </w:rPr>
      </w:pPr>
    </w:p>
    <w:p w:rsidR="000327E0" w:rsidRPr="00485A4C" w:rsidRDefault="000327E0" w:rsidP="000327E0">
      <w:pPr>
        <w:autoSpaceDE w:val="0"/>
        <w:autoSpaceDN w:val="0"/>
        <w:adjustRightInd w:val="0"/>
        <w:spacing w:line="360" w:lineRule="auto"/>
        <w:ind w:left="-540"/>
        <w:jc w:val="both"/>
        <w:rPr>
          <w:rFonts w:ascii="Tahoma" w:hAnsi="Tahoma" w:cs="Tahoma"/>
          <w:b/>
          <w:sz w:val="22"/>
          <w:szCs w:val="22"/>
        </w:rPr>
      </w:pPr>
      <w:r w:rsidRPr="00485A4C">
        <w:rPr>
          <w:rFonts w:ascii="Tahoma" w:hAnsi="Tahoma" w:cs="Tahoma"/>
          <w:b/>
          <w:sz w:val="22"/>
          <w:szCs w:val="22"/>
        </w:rPr>
        <w:t>1.ΕΞΕΛΙΞΗ ΤΩΝ ΕΡΓΑΣΙΩΝ ΤΗΣ ΕΤΑΙΡΕΙΑΣ ΓΙΑ ΤΗΝ ΚΛΕΙΟΜΕΝΗ ΧΡΗΣΗ ΑΠΟ 01.01.201</w:t>
      </w:r>
      <w:r w:rsidR="00E87405" w:rsidRPr="00485A4C">
        <w:rPr>
          <w:rFonts w:ascii="Tahoma" w:hAnsi="Tahoma" w:cs="Tahoma"/>
          <w:b/>
          <w:sz w:val="22"/>
          <w:szCs w:val="22"/>
        </w:rPr>
        <w:t>8</w:t>
      </w:r>
      <w:r w:rsidRPr="00485A4C">
        <w:rPr>
          <w:rFonts w:ascii="Tahoma" w:hAnsi="Tahoma" w:cs="Tahoma"/>
          <w:b/>
          <w:sz w:val="22"/>
          <w:szCs w:val="22"/>
        </w:rPr>
        <w:t xml:space="preserve"> ΕΩΣ 31.12.201</w:t>
      </w:r>
      <w:r w:rsidR="00E87405" w:rsidRPr="00485A4C">
        <w:rPr>
          <w:rFonts w:ascii="Tahoma" w:hAnsi="Tahoma" w:cs="Tahoma"/>
          <w:b/>
          <w:sz w:val="22"/>
          <w:szCs w:val="22"/>
        </w:rPr>
        <w:t>8</w:t>
      </w:r>
    </w:p>
    <w:p w:rsidR="000327E0" w:rsidRPr="00485A4C" w:rsidRDefault="000327E0" w:rsidP="000327E0">
      <w:pPr>
        <w:autoSpaceDE w:val="0"/>
        <w:autoSpaceDN w:val="0"/>
        <w:adjustRightInd w:val="0"/>
        <w:spacing w:line="360" w:lineRule="auto"/>
        <w:ind w:left="-540"/>
        <w:jc w:val="both"/>
        <w:rPr>
          <w:rFonts w:ascii="Tahoma" w:hAnsi="Tahoma" w:cs="Tahoma"/>
          <w:b/>
          <w:sz w:val="22"/>
          <w:szCs w:val="22"/>
        </w:rPr>
      </w:pPr>
    </w:p>
    <w:p w:rsidR="000327E0" w:rsidRPr="00485A4C" w:rsidRDefault="000327E0" w:rsidP="000327E0">
      <w:pPr>
        <w:ind w:left="-567"/>
        <w:jc w:val="both"/>
        <w:rPr>
          <w:rFonts w:ascii="Tahoma" w:hAnsi="Tahoma" w:cs="Tahoma"/>
          <w:b/>
          <w:bCs/>
          <w:iCs/>
          <w:sz w:val="22"/>
          <w:szCs w:val="22"/>
          <w:u w:val="single"/>
        </w:rPr>
      </w:pPr>
      <w:r w:rsidRPr="00485A4C">
        <w:rPr>
          <w:rFonts w:ascii="Tahoma" w:hAnsi="Tahoma" w:cs="Tahoma"/>
          <w:b/>
          <w:bCs/>
          <w:iCs/>
          <w:sz w:val="22"/>
          <w:szCs w:val="22"/>
          <w:u w:val="single"/>
        </w:rPr>
        <w:t>Ανάλυση χρηματοοικονομικών πληροφοριών</w:t>
      </w:r>
    </w:p>
    <w:p w:rsidR="000327E0" w:rsidRPr="00485A4C" w:rsidRDefault="000327E0" w:rsidP="000327E0">
      <w:pPr>
        <w:jc w:val="both"/>
        <w:rPr>
          <w:rFonts w:ascii="Tahoma" w:hAnsi="Tahoma" w:cs="Tahoma"/>
          <w:b/>
          <w:bCs/>
          <w:i/>
          <w:iCs/>
          <w:sz w:val="22"/>
          <w:szCs w:val="22"/>
          <w:u w:val="single"/>
        </w:rPr>
      </w:pPr>
    </w:p>
    <w:p w:rsidR="000327E0" w:rsidRPr="004A7C69" w:rsidRDefault="000327E0" w:rsidP="000327E0">
      <w:pPr>
        <w:autoSpaceDE w:val="0"/>
        <w:autoSpaceDN w:val="0"/>
        <w:adjustRightInd w:val="0"/>
        <w:spacing w:line="360" w:lineRule="auto"/>
        <w:ind w:left="-540"/>
        <w:jc w:val="both"/>
        <w:rPr>
          <w:rFonts w:ascii="Tahoma" w:hAnsi="Tahoma" w:cs="Tahoma"/>
          <w:sz w:val="22"/>
          <w:szCs w:val="22"/>
        </w:rPr>
      </w:pPr>
      <w:r w:rsidRPr="004A7C69">
        <w:rPr>
          <w:rFonts w:ascii="Tahoma" w:hAnsi="Tahoma" w:cs="Tahoma"/>
          <w:b/>
          <w:bCs/>
          <w:iCs/>
          <w:sz w:val="22"/>
          <w:szCs w:val="22"/>
        </w:rPr>
        <w:t>(</w:t>
      </w:r>
      <w:r w:rsidRPr="004A7C69">
        <w:rPr>
          <w:rFonts w:ascii="Tahoma" w:hAnsi="Tahoma" w:cs="Tahoma"/>
          <w:sz w:val="22"/>
          <w:szCs w:val="22"/>
        </w:rPr>
        <w:t xml:space="preserve">α)  Κύκλος εργασιών: Ο κύκλος εργασιών της Εταιρείας ανήλθε σε € </w:t>
      </w:r>
      <w:r w:rsidR="000E78AC" w:rsidRPr="004A7C69">
        <w:rPr>
          <w:rFonts w:ascii="Tahoma" w:hAnsi="Tahoma" w:cs="Tahoma"/>
          <w:sz w:val="22"/>
          <w:szCs w:val="22"/>
        </w:rPr>
        <w:t>3</w:t>
      </w:r>
      <w:r w:rsidR="00E87405" w:rsidRPr="004A7C69">
        <w:rPr>
          <w:rFonts w:ascii="Tahoma" w:hAnsi="Tahoma" w:cs="Tahoma"/>
          <w:sz w:val="22"/>
          <w:szCs w:val="22"/>
        </w:rPr>
        <w:t>.166.028,45</w:t>
      </w:r>
      <w:r w:rsidRPr="004A7C69">
        <w:rPr>
          <w:rFonts w:ascii="Tahoma" w:hAnsi="Tahoma" w:cs="Tahoma"/>
          <w:sz w:val="22"/>
          <w:szCs w:val="22"/>
        </w:rPr>
        <w:t xml:space="preserve">, εμφανίζοντας </w:t>
      </w:r>
      <w:r w:rsidR="00E42B87" w:rsidRPr="004A7C69">
        <w:rPr>
          <w:rFonts w:ascii="Tahoma" w:hAnsi="Tahoma" w:cs="Tahoma"/>
          <w:sz w:val="22"/>
          <w:szCs w:val="22"/>
        </w:rPr>
        <w:t>μείω</w:t>
      </w:r>
      <w:r w:rsidRPr="004A7C69">
        <w:rPr>
          <w:rFonts w:ascii="Tahoma" w:hAnsi="Tahoma" w:cs="Tahoma"/>
          <w:sz w:val="22"/>
          <w:szCs w:val="22"/>
        </w:rPr>
        <w:t xml:space="preserve">ση της τάξης του </w:t>
      </w:r>
      <w:r w:rsidR="000E78AC" w:rsidRPr="004A7C69">
        <w:rPr>
          <w:rFonts w:ascii="Tahoma" w:hAnsi="Tahoma" w:cs="Tahoma"/>
          <w:sz w:val="22"/>
          <w:szCs w:val="22"/>
        </w:rPr>
        <w:t>7,</w:t>
      </w:r>
      <w:r w:rsidR="00E87405" w:rsidRPr="004A7C69">
        <w:rPr>
          <w:rFonts w:ascii="Tahoma" w:hAnsi="Tahoma" w:cs="Tahoma"/>
          <w:sz w:val="22"/>
          <w:szCs w:val="22"/>
        </w:rPr>
        <w:t>83</w:t>
      </w:r>
      <w:r w:rsidRPr="004A7C69">
        <w:rPr>
          <w:rFonts w:ascii="Tahoma" w:hAnsi="Tahoma" w:cs="Tahoma"/>
          <w:sz w:val="22"/>
          <w:szCs w:val="22"/>
        </w:rPr>
        <w:t xml:space="preserve"> % περίπου σε σχέση με την προηγούμενη χρήση που ανήλθε € </w:t>
      </w:r>
      <w:r w:rsidR="00E87405" w:rsidRPr="004A7C69">
        <w:rPr>
          <w:rFonts w:ascii="Tahoma" w:hAnsi="Tahoma" w:cs="Tahoma"/>
          <w:sz w:val="22"/>
          <w:szCs w:val="22"/>
        </w:rPr>
        <w:t>3.435.089,10</w:t>
      </w:r>
      <w:r w:rsidRPr="004A7C69">
        <w:rPr>
          <w:rFonts w:ascii="Tahoma" w:hAnsi="Tahoma" w:cs="Tahoma"/>
          <w:sz w:val="22"/>
          <w:szCs w:val="22"/>
        </w:rPr>
        <w:t xml:space="preserve">. </w:t>
      </w:r>
    </w:p>
    <w:p w:rsidR="000327E0" w:rsidRPr="004A7C69" w:rsidRDefault="000327E0" w:rsidP="000327E0">
      <w:pPr>
        <w:autoSpaceDE w:val="0"/>
        <w:autoSpaceDN w:val="0"/>
        <w:adjustRightInd w:val="0"/>
        <w:spacing w:line="360" w:lineRule="auto"/>
        <w:ind w:left="-540"/>
        <w:jc w:val="both"/>
        <w:rPr>
          <w:rFonts w:ascii="Tahoma" w:hAnsi="Tahoma" w:cs="Tahoma"/>
          <w:sz w:val="22"/>
          <w:szCs w:val="22"/>
        </w:rPr>
      </w:pPr>
      <w:r w:rsidRPr="004A7C69">
        <w:rPr>
          <w:rFonts w:ascii="Tahoma" w:hAnsi="Tahoma" w:cs="Tahoma"/>
          <w:sz w:val="22"/>
          <w:szCs w:val="22"/>
        </w:rPr>
        <w:t xml:space="preserve">Η </w:t>
      </w:r>
      <w:r w:rsidR="00E42B87" w:rsidRPr="004A7C69">
        <w:rPr>
          <w:rFonts w:ascii="Tahoma" w:hAnsi="Tahoma" w:cs="Tahoma"/>
          <w:sz w:val="22"/>
          <w:szCs w:val="22"/>
        </w:rPr>
        <w:t>μείω</w:t>
      </w:r>
      <w:r w:rsidRPr="004A7C69">
        <w:rPr>
          <w:rFonts w:ascii="Tahoma" w:hAnsi="Tahoma" w:cs="Tahoma"/>
          <w:sz w:val="22"/>
          <w:szCs w:val="22"/>
        </w:rPr>
        <w:t xml:space="preserve">ση των πωλήσεων της Εταιρείας </w:t>
      </w:r>
      <w:r w:rsidR="00553318" w:rsidRPr="004A7C69">
        <w:rPr>
          <w:rFonts w:ascii="Tahoma" w:hAnsi="Tahoma" w:cs="Tahoma"/>
          <w:sz w:val="22"/>
          <w:szCs w:val="22"/>
        </w:rPr>
        <w:t>οφείλεται στην σχετικά μικρότερη ζήτηση λόγω της συνεχιζόμενης οικονομικής κρίσης που υφίσταται η χώρα</w:t>
      </w:r>
      <w:r w:rsidRPr="004A7C69">
        <w:rPr>
          <w:rFonts w:ascii="Tahoma" w:hAnsi="Tahoma" w:cs="Tahoma"/>
          <w:sz w:val="22"/>
          <w:szCs w:val="22"/>
        </w:rPr>
        <w:t>.</w:t>
      </w:r>
    </w:p>
    <w:p w:rsidR="000327E0" w:rsidRPr="004A7C69" w:rsidRDefault="000327E0" w:rsidP="000327E0">
      <w:pPr>
        <w:autoSpaceDE w:val="0"/>
        <w:autoSpaceDN w:val="0"/>
        <w:adjustRightInd w:val="0"/>
        <w:spacing w:line="360" w:lineRule="auto"/>
        <w:ind w:left="-540"/>
        <w:jc w:val="both"/>
        <w:rPr>
          <w:rFonts w:ascii="Tahoma" w:hAnsi="Tahoma" w:cs="Tahoma"/>
          <w:sz w:val="22"/>
          <w:szCs w:val="22"/>
        </w:rPr>
      </w:pPr>
      <w:r w:rsidRPr="004A7C69">
        <w:rPr>
          <w:rFonts w:ascii="Tahoma" w:hAnsi="Tahoma" w:cs="Tahoma"/>
          <w:sz w:val="22"/>
          <w:szCs w:val="22"/>
        </w:rPr>
        <w:t xml:space="preserve"> (β)  Μικτά κέρδη εκμετάλλευσης: Στην κλειόμενη χρήση το περιθώριο του μικτού κέρδους </w:t>
      </w:r>
      <w:r w:rsidR="00E87405" w:rsidRPr="004A7C69">
        <w:rPr>
          <w:rFonts w:ascii="Tahoma" w:hAnsi="Tahoma" w:cs="Tahoma"/>
          <w:sz w:val="22"/>
          <w:szCs w:val="22"/>
        </w:rPr>
        <w:t>μειώθηκε</w:t>
      </w:r>
      <w:r w:rsidRPr="004A7C69">
        <w:rPr>
          <w:rFonts w:ascii="Tahoma" w:hAnsi="Tahoma" w:cs="Tahoma"/>
          <w:sz w:val="22"/>
          <w:szCs w:val="22"/>
        </w:rPr>
        <w:t xml:space="preserve"> σ</w:t>
      </w:r>
      <w:r w:rsidR="00203F12" w:rsidRPr="004A7C69">
        <w:rPr>
          <w:rFonts w:ascii="Tahoma" w:hAnsi="Tahoma" w:cs="Tahoma"/>
          <w:sz w:val="22"/>
          <w:szCs w:val="22"/>
        </w:rPr>
        <w:t>το</w:t>
      </w:r>
      <w:r w:rsidRPr="004A7C69">
        <w:rPr>
          <w:rFonts w:ascii="Tahoma" w:hAnsi="Tahoma" w:cs="Tahoma"/>
          <w:sz w:val="22"/>
          <w:szCs w:val="22"/>
        </w:rPr>
        <w:t xml:space="preserve"> </w:t>
      </w:r>
      <w:r w:rsidR="000E78AC" w:rsidRPr="004A7C69">
        <w:rPr>
          <w:rFonts w:ascii="Tahoma" w:hAnsi="Tahoma" w:cs="Tahoma"/>
          <w:sz w:val="22"/>
          <w:szCs w:val="22"/>
        </w:rPr>
        <w:t>3</w:t>
      </w:r>
      <w:r w:rsidR="00E87405" w:rsidRPr="004A7C69">
        <w:rPr>
          <w:rFonts w:ascii="Tahoma" w:hAnsi="Tahoma" w:cs="Tahoma"/>
          <w:sz w:val="22"/>
          <w:szCs w:val="22"/>
        </w:rPr>
        <w:t>7</w:t>
      </w:r>
      <w:r w:rsidR="00D94651">
        <w:rPr>
          <w:rFonts w:ascii="Tahoma" w:hAnsi="Tahoma" w:cs="Tahoma"/>
          <w:sz w:val="22"/>
          <w:szCs w:val="22"/>
          <w:lang w:val="en-US"/>
        </w:rPr>
        <w:t>,19</w:t>
      </w:r>
      <w:r w:rsidR="000E78AC" w:rsidRPr="004A7C69">
        <w:rPr>
          <w:rFonts w:ascii="Tahoma" w:hAnsi="Tahoma" w:cs="Tahoma"/>
          <w:sz w:val="22"/>
          <w:szCs w:val="22"/>
        </w:rPr>
        <w:t xml:space="preserve"> </w:t>
      </w:r>
      <w:r w:rsidRPr="004A7C69">
        <w:rPr>
          <w:rFonts w:ascii="Tahoma" w:hAnsi="Tahoma" w:cs="Tahoma"/>
          <w:sz w:val="22"/>
          <w:szCs w:val="22"/>
        </w:rPr>
        <w:t xml:space="preserve">% για την εταιρεία. </w:t>
      </w:r>
      <w:r w:rsidR="00553318" w:rsidRPr="004A7C69">
        <w:rPr>
          <w:rFonts w:ascii="Tahoma" w:hAnsi="Tahoma" w:cs="Tahoma"/>
          <w:sz w:val="22"/>
          <w:szCs w:val="22"/>
        </w:rPr>
        <w:t xml:space="preserve">Η </w:t>
      </w:r>
      <w:r w:rsidR="00E87405" w:rsidRPr="004A7C69">
        <w:rPr>
          <w:rFonts w:ascii="Tahoma" w:hAnsi="Tahoma" w:cs="Tahoma"/>
          <w:sz w:val="22"/>
          <w:szCs w:val="22"/>
        </w:rPr>
        <w:t>μείωσ</w:t>
      </w:r>
      <w:r w:rsidR="005D5E9C" w:rsidRPr="004A7C69">
        <w:rPr>
          <w:rFonts w:ascii="Tahoma" w:hAnsi="Tahoma" w:cs="Tahoma"/>
          <w:sz w:val="22"/>
          <w:szCs w:val="22"/>
        </w:rPr>
        <w:t>η</w:t>
      </w:r>
      <w:r w:rsidR="00553318" w:rsidRPr="004A7C69">
        <w:rPr>
          <w:rFonts w:ascii="Tahoma" w:hAnsi="Tahoma" w:cs="Tahoma"/>
          <w:sz w:val="22"/>
          <w:szCs w:val="22"/>
        </w:rPr>
        <w:t xml:space="preserve"> του περιθωρίου του μικτού κέρδους της εταιρείας οφείλεται στη </w:t>
      </w:r>
      <w:r w:rsidR="005D5E9C" w:rsidRPr="004A7C69">
        <w:rPr>
          <w:rFonts w:ascii="Tahoma" w:hAnsi="Tahoma" w:cs="Tahoma"/>
          <w:sz w:val="22"/>
          <w:szCs w:val="22"/>
        </w:rPr>
        <w:t xml:space="preserve">μικρή </w:t>
      </w:r>
      <w:r w:rsidR="00E87405" w:rsidRPr="004A7C69">
        <w:rPr>
          <w:rFonts w:ascii="Tahoma" w:hAnsi="Tahoma" w:cs="Tahoma"/>
          <w:sz w:val="22"/>
          <w:szCs w:val="22"/>
        </w:rPr>
        <w:t>μείωση του κύκλου εργασιών.</w:t>
      </w:r>
      <w:r w:rsidR="00553318" w:rsidRPr="004A7C69">
        <w:rPr>
          <w:rFonts w:ascii="Tahoma" w:hAnsi="Tahoma" w:cs="Tahoma"/>
          <w:sz w:val="22"/>
          <w:szCs w:val="22"/>
        </w:rPr>
        <w:t xml:space="preserve"> </w:t>
      </w:r>
    </w:p>
    <w:p w:rsidR="000327E0" w:rsidRPr="004A7C69" w:rsidRDefault="000327E0" w:rsidP="000327E0">
      <w:pPr>
        <w:autoSpaceDE w:val="0"/>
        <w:autoSpaceDN w:val="0"/>
        <w:adjustRightInd w:val="0"/>
        <w:spacing w:line="360" w:lineRule="auto"/>
        <w:ind w:left="-540"/>
        <w:jc w:val="both"/>
        <w:rPr>
          <w:rFonts w:ascii="Tahoma" w:hAnsi="Tahoma" w:cs="Tahoma"/>
          <w:sz w:val="22"/>
          <w:szCs w:val="22"/>
        </w:rPr>
      </w:pPr>
      <w:r w:rsidRPr="004A7C69">
        <w:rPr>
          <w:rFonts w:ascii="Tahoma" w:hAnsi="Tahoma" w:cs="Tahoma"/>
          <w:sz w:val="22"/>
          <w:szCs w:val="22"/>
        </w:rPr>
        <w:t xml:space="preserve">(γ) Αποτελέσματα προ τόκων, φόρων, επενδυτικών αποτελεσμάτων και αποσβέσεων </w:t>
      </w:r>
      <w:r w:rsidRPr="004A7C69">
        <w:rPr>
          <w:rFonts w:ascii="Tahoma" w:hAnsi="Tahoma" w:cs="Tahoma"/>
          <w:sz w:val="22"/>
          <w:szCs w:val="22"/>
          <w:lang w:val="en-US"/>
        </w:rPr>
        <w:t>EBI</w:t>
      </w:r>
      <w:r w:rsidRPr="004A7C69">
        <w:rPr>
          <w:rFonts w:ascii="Tahoma" w:hAnsi="Tahoma" w:cs="Tahoma"/>
          <w:sz w:val="22"/>
          <w:szCs w:val="22"/>
        </w:rPr>
        <w:t>Τ</w:t>
      </w:r>
      <w:r w:rsidRPr="004A7C69">
        <w:rPr>
          <w:rFonts w:ascii="Tahoma" w:hAnsi="Tahoma" w:cs="Tahoma"/>
          <w:sz w:val="22"/>
          <w:szCs w:val="22"/>
          <w:lang w:val="en-US"/>
        </w:rPr>
        <w:t>DA</w:t>
      </w:r>
      <w:r w:rsidRPr="004A7C69">
        <w:rPr>
          <w:rFonts w:ascii="Tahoma" w:hAnsi="Tahoma" w:cs="Tahoma"/>
          <w:sz w:val="22"/>
          <w:szCs w:val="22"/>
        </w:rPr>
        <w:t>:</w:t>
      </w:r>
    </w:p>
    <w:p w:rsidR="000327E0" w:rsidRPr="004A7C69" w:rsidRDefault="000327E0" w:rsidP="000327E0">
      <w:pPr>
        <w:autoSpaceDE w:val="0"/>
        <w:autoSpaceDN w:val="0"/>
        <w:adjustRightInd w:val="0"/>
        <w:spacing w:line="360" w:lineRule="auto"/>
        <w:ind w:left="-540"/>
        <w:jc w:val="both"/>
        <w:rPr>
          <w:rFonts w:ascii="Tahoma" w:hAnsi="Tahoma" w:cs="Tahoma"/>
          <w:sz w:val="22"/>
          <w:szCs w:val="22"/>
        </w:rPr>
      </w:pPr>
      <w:r w:rsidRPr="004A7C69">
        <w:rPr>
          <w:rFonts w:ascii="Tahoma" w:hAnsi="Tahoma" w:cs="Tahoma"/>
          <w:sz w:val="22"/>
          <w:szCs w:val="22"/>
        </w:rPr>
        <w:t>Tα αποτελέσματα προ τόκων, φόρων, επενδυτικών αποτελεσμάτων και αποσβέσεων ανήλθαν σε κέρδη €</w:t>
      </w:r>
      <w:r w:rsidR="00747892" w:rsidRPr="004A7C69">
        <w:rPr>
          <w:rFonts w:ascii="Tahoma" w:hAnsi="Tahoma" w:cs="Tahoma"/>
          <w:sz w:val="22"/>
          <w:szCs w:val="22"/>
        </w:rPr>
        <w:t xml:space="preserve"> </w:t>
      </w:r>
      <w:r w:rsidR="00A1721E">
        <w:rPr>
          <w:rFonts w:ascii="Tahoma" w:hAnsi="Tahoma" w:cs="Tahoma"/>
          <w:sz w:val="22"/>
          <w:szCs w:val="22"/>
          <w:lang w:val="en-US"/>
        </w:rPr>
        <w:t>832.818</w:t>
      </w:r>
      <w:r w:rsidR="00A1721E">
        <w:rPr>
          <w:rFonts w:ascii="Tahoma" w:hAnsi="Tahoma" w:cs="Tahoma"/>
          <w:sz w:val="22"/>
          <w:szCs w:val="22"/>
        </w:rPr>
        <w:t>,49</w:t>
      </w:r>
      <w:r w:rsidRPr="004A7C69">
        <w:rPr>
          <w:rFonts w:ascii="Tahoma" w:hAnsi="Tahoma" w:cs="Tahoma"/>
          <w:sz w:val="22"/>
          <w:szCs w:val="22"/>
        </w:rPr>
        <w:t xml:space="preserve"> έναντι €</w:t>
      </w:r>
      <w:r w:rsidR="00D37B62" w:rsidRPr="004A7C69">
        <w:rPr>
          <w:rFonts w:ascii="Tahoma" w:hAnsi="Tahoma" w:cs="Tahoma"/>
          <w:sz w:val="22"/>
          <w:szCs w:val="22"/>
        </w:rPr>
        <w:t xml:space="preserve"> </w:t>
      </w:r>
      <w:r w:rsidR="00485A4C" w:rsidRPr="004A7C69">
        <w:rPr>
          <w:rFonts w:ascii="Tahoma" w:hAnsi="Tahoma" w:cs="Tahoma"/>
          <w:sz w:val="22"/>
          <w:szCs w:val="22"/>
          <w:lang w:val="en-US"/>
        </w:rPr>
        <w:t>931.341</w:t>
      </w:r>
      <w:r w:rsidR="00485A4C" w:rsidRPr="004A7C69">
        <w:rPr>
          <w:rFonts w:ascii="Tahoma" w:hAnsi="Tahoma" w:cs="Tahoma"/>
          <w:sz w:val="22"/>
          <w:szCs w:val="22"/>
        </w:rPr>
        <w:t>,15</w:t>
      </w:r>
      <w:r w:rsidR="00747892" w:rsidRPr="004A7C69">
        <w:rPr>
          <w:rFonts w:ascii="Tahoma" w:hAnsi="Tahoma" w:cs="Tahoma"/>
          <w:sz w:val="22"/>
          <w:szCs w:val="22"/>
        </w:rPr>
        <w:t xml:space="preserve"> </w:t>
      </w:r>
      <w:r w:rsidR="00D37B62" w:rsidRPr="004A7C69">
        <w:rPr>
          <w:rFonts w:ascii="Tahoma" w:hAnsi="Tahoma" w:cs="Tahoma"/>
          <w:sz w:val="22"/>
          <w:szCs w:val="22"/>
        </w:rPr>
        <w:t xml:space="preserve">στην προηγούμενη χρήση παρουσιάζοντας </w:t>
      </w:r>
      <w:r w:rsidR="00203F12" w:rsidRPr="004A7C69">
        <w:rPr>
          <w:rFonts w:ascii="Tahoma" w:hAnsi="Tahoma" w:cs="Tahoma"/>
          <w:sz w:val="22"/>
          <w:szCs w:val="22"/>
        </w:rPr>
        <w:t>μείω</w:t>
      </w:r>
      <w:r w:rsidR="00D37B62" w:rsidRPr="004A7C69">
        <w:rPr>
          <w:rFonts w:ascii="Tahoma" w:hAnsi="Tahoma" w:cs="Tahoma"/>
          <w:sz w:val="22"/>
          <w:szCs w:val="22"/>
        </w:rPr>
        <w:t xml:space="preserve">ση </w:t>
      </w:r>
      <w:r w:rsidR="00A1721E">
        <w:rPr>
          <w:rFonts w:ascii="Tahoma" w:hAnsi="Tahoma" w:cs="Tahoma"/>
          <w:sz w:val="22"/>
          <w:szCs w:val="22"/>
        </w:rPr>
        <w:t>10,58</w:t>
      </w:r>
      <w:r w:rsidR="00747892" w:rsidRPr="004A7C69">
        <w:rPr>
          <w:rFonts w:ascii="Tahoma" w:hAnsi="Tahoma" w:cs="Tahoma"/>
          <w:sz w:val="22"/>
          <w:szCs w:val="22"/>
        </w:rPr>
        <w:t xml:space="preserve"> </w:t>
      </w:r>
      <w:r w:rsidR="00D37B62" w:rsidRPr="004A7C69">
        <w:rPr>
          <w:rFonts w:ascii="Tahoma" w:hAnsi="Tahoma" w:cs="Tahoma"/>
          <w:sz w:val="22"/>
          <w:szCs w:val="22"/>
        </w:rPr>
        <w:t>%.</w:t>
      </w:r>
      <w:r w:rsidRPr="004A7C69">
        <w:rPr>
          <w:rFonts w:ascii="Tahoma" w:hAnsi="Tahoma" w:cs="Tahoma"/>
          <w:sz w:val="22"/>
          <w:szCs w:val="22"/>
        </w:rPr>
        <w:t xml:space="preserve"> </w:t>
      </w:r>
    </w:p>
    <w:p w:rsidR="000327E0" w:rsidRPr="004A7C69" w:rsidRDefault="000327E0" w:rsidP="000327E0">
      <w:pPr>
        <w:autoSpaceDE w:val="0"/>
        <w:autoSpaceDN w:val="0"/>
        <w:adjustRightInd w:val="0"/>
        <w:spacing w:line="360" w:lineRule="auto"/>
        <w:ind w:left="-540"/>
        <w:jc w:val="both"/>
        <w:rPr>
          <w:rFonts w:ascii="Tahoma" w:hAnsi="Tahoma" w:cs="Tahoma"/>
          <w:sz w:val="22"/>
          <w:szCs w:val="22"/>
        </w:rPr>
      </w:pPr>
      <w:r w:rsidRPr="004A7C69">
        <w:rPr>
          <w:rFonts w:ascii="Tahoma" w:hAnsi="Tahoma" w:cs="Tahoma"/>
          <w:sz w:val="22"/>
          <w:szCs w:val="22"/>
        </w:rPr>
        <w:t>(δ) Καθαρά Κέρδη μετά από φόρους : Στην παρούσα χρήση η Εταιρεία παρουσίασε καθαρά κέρδη €</w:t>
      </w:r>
      <w:r w:rsidR="000E78AC" w:rsidRPr="004A7C69">
        <w:rPr>
          <w:rFonts w:ascii="Tahoma" w:hAnsi="Tahoma" w:cs="Tahoma"/>
          <w:sz w:val="22"/>
          <w:szCs w:val="22"/>
        </w:rPr>
        <w:t xml:space="preserve"> </w:t>
      </w:r>
      <w:r w:rsidR="00485A4C" w:rsidRPr="004A7C69">
        <w:rPr>
          <w:rFonts w:ascii="Tahoma" w:hAnsi="Tahoma" w:cs="Tahoma"/>
          <w:sz w:val="22"/>
          <w:szCs w:val="22"/>
        </w:rPr>
        <w:t>372.710,45</w:t>
      </w:r>
      <w:r w:rsidRPr="004A7C69">
        <w:rPr>
          <w:rFonts w:ascii="Tahoma" w:hAnsi="Tahoma" w:cs="Tahoma"/>
          <w:sz w:val="22"/>
          <w:szCs w:val="22"/>
        </w:rPr>
        <w:t>, έναντι €</w:t>
      </w:r>
      <w:r w:rsidR="00D37B62" w:rsidRPr="004A7C69">
        <w:rPr>
          <w:rFonts w:ascii="Tahoma" w:hAnsi="Tahoma" w:cs="Tahoma"/>
          <w:sz w:val="22"/>
          <w:szCs w:val="22"/>
        </w:rPr>
        <w:t xml:space="preserve"> </w:t>
      </w:r>
      <w:r w:rsidR="00485A4C" w:rsidRPr="004A7C69">
        <w:rPr>
          <w:rFonts w:ascii="Tahoma" w:hAnsi="Tahoma" w:cs="Tahoma"/>
          <w:sz w:val="22"/>
          <w:szCs w:val="22"/>
        </w:rPr>
        <w:t>475.515,50</w:t>
      </w:r>
      <w:r w:rsidRPr="004A7C69">
        <w:rPr>
          <w:rFonts w:ascii="Tahoma" w:hAnsi="Tahoma" w:cs="Tahoma"/>
          <w:sz w:val="22"/>
          <w:szCs w:val="22"/>
        </w:rPr>
        <w:t xml:space="preserve"> στην προηγούμενη χρήση</w:t>
      </w:r>
      <w:r w:rsidR="00D37B62" w:rsidRPr="004A7C69">
        <w:rPr>
          <w:rFonts w:ascii="Tahoma" w:hAnsi="Tahoma" w:cs="Tahoma"/>
          <w:sz w:val="22"/>
          <w:szCs w:val="22"/>
        </w:rPr>
        <w:t xml:space="preserve"> παρουσιάζοντας </w:t>
      </w:r>
      <w:r w:rsidR="00203F12" w:rsidRPr="004A7C69">
        <w:rPr>
          <w:rFonts w:ascii="Tahoma" w:hAnsi="Tahoma" w:cs="Tahoma"/>
          <w:sz w:val="22"/>
          <w:szCs w:val="22"/>
        </w:rPr>
        <w:t>μείω</w:t>
      </w:r>
      <w:r w:rsidR="00D37B62" w:rsidRPr="004A7C69">
        <w:rPr>
          <w:rFonts w:ascii="Tahoma" w:hAnsi="Tahoma" w:cs="Tahoma"/>
          <w:sz w:val="22"/>
          <w:szCs w:val="22"/>
        </w:rPr>
        <w:t xml:space="preserve">ση </w:t>
      </w:r>
      <w:r w:rsidR="000E78AC" w:rsidRPr="004A7C69">
        <w:rPr>
          <w:rFonts w:ascii="Tahoma" w:hAnsi="Tahoma" w:cs="Tahoma"/>
          <w:sz w:val="22"/>
          <w:szCs w:val="22"/>
        </w:rPr>
        <w:t>2</w:t>
      </w:r>
      <w:r w:rsidR="00485A4C" w:rsidRPr="004A7C69">
        <w:rPr>
          <w:rFonts w:ascii="Tahoma" w:hAnsi="Tahoma" w:cs="Tahoma"/>
          <w:sz w:val="22"/>
          <w:szCs w:val="22"/>
        </w:rPr>
        <w:t>1,62</w:t>
      </w:r>
      <w:r w:rsidR="000E78AC" w:rsidRPr="004A7C69">
        <w:rPr>
          <w:rFonts w:ascii="Tahoma" w:hAnsi="Tahoma" w:cs="Tahoma"/>
          <w:sz w:val="22"/>
          <w:szCs w:val="22"/>
        </w:rPr>
        <w:t xml:space="preserve"> </w:t>
      </w:r>
      <w:r w:rsidR="00D37B62" w:rsidRPr="004A7C69">
        <w:rPr>
          <w:rFonts w:ascii="Tahoma" w:hAnsi="Tahoma" w:cs="Tahoma"/>
          <w:sz w:val="22"/>
          <w:szCs w:val="22"/>
        </w:rPr>
        <w:t>%</w:t>
      </w:r>
      <w:r w:rsidRPr="004A7C69">
        <w:rPr>
          <w:rFonts w:ascii="Tahoma" w:hAnsi="Tahoma" w:cs="Tahoma"/>
          <w:sz w:val="22"/>
          <w:szCs w:val="22"/>
        </w:rPr>
        <w:t>.</w:t>
      </w:r>
    </w:p>
    <w:p w:rsidR="000327E0" w:rsidRPr="004A7C69" w:rsidRDefault="000327E0" w:rsidP="000327E0">
      <w:pPr>
        <w:autoSpaceDE w:val="0"/>
        <w:autoSpaceDN w:val="0"/>
        <w:adjustRightInd w:val="0"/>
        <w:spacing w:line="360" w:lineRule="auto"/>
        <w:ind w:left="-540"/>
        <w:jc w:val="both"/>
        <w:rPr>
          <w:rFonts w:ascii="Tahoma" w:hAnsi="Tahoma" w:cs="Tahoma"/>
          <w:sz w:val="22"/>
          <w:szCs w:val="22"/>
        </w:rPr>
      </w:pPr>
      <w:r w:rsidRPr="004A7C69">
        <w:rPr>
          <w:rFonts w:ascii="Tahoma" w:hAnsi="Tahoma" w:cs="Tahoma"/>
          <w:sz w:val="22"/>
          <w:szCs w:val="22"/>
        </w:rPr>
        <w:t xml:space="preserve"> (ε) Αναπόσβεστα ενσώματα πάγια στοιχεία του Ενεργητικού: Κατά την 31.12.201</w:t>
      </w:r>
      <w:r w:rsidR="00485A4C" w:rsidRPr="004A7C69">
        <w:rPr>
          <w:rFonts w:ascii="Tahoma" w:hAnsi="Tahoma" w:cs="Tahoma"/>
          <w:sz w:val="22"/>
          <w:szCs w:val="22"/>
          <w:lang w:val="en-US"/>
        </w:rPr>
        <w:t>8</w:t>
      </w:r>
      <w:r w:rsidRPr="004A7C69">
        <w:rPr>
          <w:rFonts w:ascii="Tahoma" w:hAnsi="Tahoma" w:cs="Tahoma"/>
          <w:sz w:val="22"/>
          <w:szCs w:val="22"/>
        </w:rPr>
        <w:t>, τα Αναπόσβεστα ενσώματα Πάγια Στοιχεία της εταιρείας ανέρχονταν σε €</w:t>
      </w:r>
      <w:r w:rsidR="000E78AC" w:rsidRPr="004A7C69">
        <w:rPr>
          <w:rFonts w:ascii="Tahoma" w:hAnsi="Tahoma" w:cs="Tahoma"/>
          <w:sz w:val="22"/>
          <w:szCs w:val="22"/>
        </w:rPr>
        <w:t xml:space="preserve"> </w:t>
      </w:r>
      <w:r w:rsidR="00485A4C" w:rsidRPr="004A7C69">
        <w:rPr>
          <w:rFonts w:ascii="Tahoma" w:hAnsi="Tahoma" w:cs="Tahoma"/>
          <w:sz w:val="22"/>
          <w:szCs w:val="22"/>
        </w:rPr>
        <w:t>2.838.129,11</w:t>
      </w:r>
      <w:r w:rsidRPr="004A7C69">
        <w:rPr>
          <w:rFonts w:ascii="Tahoma" w:hAnsi="Tahoma" w:cs="Tahoma"/>
          <w:sz w:val="22"/>
          <w:szCs w:val="22"/>
        </w:rPr>
        <w:t xml:space="preserve"> έναντι αυτών της προηγούμενης χρήσης που ήταν € </w:t>
      </w:r>
      <w:r w:rsidR="00485A4C" w:rsidRPr="004A7C69">
        <w:rPr>
          <w:rFonts w:ascii="Tahoma" w:hAnsi="Tahoma" w:cs="Tahoma"/>
          <w:sz w:val="22"/>
          <w:szCs w:val="22"/>
          <w:lang w:val="en-US"/>
        </w:rPr>
        <w:t>3.088.446</w:t>
      </w:r>
      <w:r w:rsidR="00485A4C" w:rsidRPr="004A7C69">
        <w:rPr>
          <w:rFonts w:ascii="Tahoma" w:hAnsi="Tahoma" w:cs="Tahoma"/>
          <w:sz w:val="22"/>
          <w:szCs w:val="22"/>
        </w:rPr>
        <w:t>,81</w:t>
      </w:r>
      <w:r w:rsidRPr="004A7C69">
        <w:rPr>
          <w:rFonts w:ascii="Tahoma" w:hAnsi="Tahoma" w:cs="Tahoma"/>
          <w:sz w:val="22"/>
          <w:szCs w:val="22"/>
        </w:rPr>
        <w:t>.</w:t>
      </w:r>
    </w:p>
    <w:p w:rsidR="000327E0" w:rsidRPr="004A7C69" w:rsidRDefault="000327E0" w:rsidP="000327E0">
      <w:pPr>
        <w:autoSpaceDE w:val="0"/>
        <w:autoSpaceDN w:val="0"/>
        <w:adjustRightInd w:val="0"/>
        <w:spacing w:line="360" w:lineRule="auto"/>
        <w:ind w:left="-540"/>
        <w:jc w:val="both"/>
        <w:rPr>
          <w:rFonts w:ascii="Tahoma" w:hAnsi="Tahoma" w:cs="Tahoma"/>
          <w:sz w:val="22"/>
          <w:szCs w:val="22"/>
        </w:rPr>
      </w:pPr>
      <w:r w:rsidRPr="004A7C69">
        <w:rPr>
          <w:rFonts w:ascii="Tahoma" w:hAnsi="Tahoma" w:cs="Tahoma"/>
          <w:sz w:val="22"/>
          <w:szCs w:val="22"/>
        </w:rPr>
        <w:t>στ) Τραπεζικές υποχρεώσεις:  Οι τραπεζικές υποχρεώσεις της Εταιρείας στην παρούσα χρήση ανήλθαν στο ποσό €</w:t>
      </w:r>
      <w:r w:rsidR="00D37B62" w:rsidRPr="004A7C69">
        <w:rPr>
          <w:rFonts w:ascii="Tahoma" w:hAnsi="Tahoma" w:cs="Tahoma"/>
          <w:sz w:val="22"/>
          <w:szCs w:val="22"/>
        </w:rPr>
        <w:t xml:space="preserve"> </w:t>
      </w:r>
      <w:r w:rsidR="00A1721E">
        <w:rPr>
          <w:rFonts w:ascii="Tahoma" w:hAnsi="Tahoma" w:cs="Tahoma"/>
          <w:sz w:val="22"/>
          <w:szCs w:val="22"/>
        </w:rPr>
        <w:t xml:space="preserve">2.241,28 </w:t>
      </w:r>
      <w:r w:rsidRPr="004A7C69">
        <w:rPr>
          <w:rFonts w:ascii="Tahoma" w:hAnsi="Tahoma" w:cs="Tahoma"/>
          <w:sz w:val="22"/>
          <w:szCs w:val="22"/>
        </w:rPr>
        <w:t>έναντι της προηγούμενης χρήσης €</w:t>
      </w:r>
      <w:r w:rsidR="00D37B62" w:rsidRPr="004A7C69">
        <w:rPr>
          <w:rFonts w:ascii="Tahoma" w:hAnsi="Tahoma" w:cs="Tahoma"/>
          <w:sz w:val="22"/>
          <w:szCs w:val="22"/>
        </w:rPr>
        <w:t xml:space="preserve"> </w:t>
      </w:r>
      <w:r w:rsidR="00485A4C" w:rsidRPr="004A7C69">
        <w:rPr>
          <w:rFonts w:ascii="Tahoma" w:hAnsi="Tahoma" w:cs="Tahoma"/>
          <w:sz w:val="22"/>
          <w:szCs w:val="22"/>
          <w:lang w:val="en-US"/>
        </w:rPr>
        <w:t>4.282</w:t>
      </w:r>
      <w:r w:rsidR="00485A4C" w:rsidRPr="004A7C69">
        <w:rPr>
          <w:rFonts w:ascii="Tahoma" w:hAnsi="Tahoma" w:cs="Tahoma"/>
          <w:sz w:val="22"/>
          <w:szCs w:val="22"/>
        </w:rPr>
        <w:t>,22.</w:t>
      </w:r>
    </w:p>
    <w:p w:rsidR="000327E0" w:rsidRPr="00485A4C" w:rsidRDefault="000327E0" w:rsidP="000327E0">
      <w:pPr>
        <w:autoSpaceDE w:val="0"/>
        <w:autoSpaceDN w:val="0"/>
        <w:adjustRightInd w:val="0"/>
        <w:spacing w:line="360" w:lineRule="auto"/>
        <w:ind w:left="-540"/>
        <w:jc w:val="both"/>
        <w:rPr>
          <w:rFonts w:ascii="Tahoma" w:hAnsi="Tahoma" w:cs="Tahoma"/>
          <w:sz w:val="22"/>
          <w:szCs w:val="22"/>
        </w:rPr>
      </w:pPr>
      <w:r w:rsidRPr="004A7C69">
        <w:rPr>
          <w:rFonts w:ascii="Tahoma" w:hAnsi="Tahoma" w:cs="Tahoma"/>
          <w:sz w:val="22"/>
          <w:szCs w:val="22"/>
        </w:rPr>
        <w:t>ζ) Ίδια κεφάλαια:  Τα Ίδια Κεφάλαια ποσού €</w:t>
      </w:r>
      <w:r w:rsidR="00E42B87" w:rsidRPr="004A7C69">
        <w:rPr>
          <w:rFonts w:ascii="Tahoma" w:hAnsi="Tahoma" w:cs="Tahoma"/>
          <w:sz w:val="22"/>
          <w:szCs w:val="22"/>
        </w:rPr>
        <w:t xml:space="preserve"> </w:t>
      </w:r>
      <w:r w:rsidR="00485A4C" w:rsidRPr="004A7C69">
        <w:rPr>
          <w:rFonts w:ascii="Tahoma" w:hAnsi="Tahoma" w:cs="Tahoma"/>
          <w:bCs/>
          <w:sz w:val="22"/>
          <w:szCs w:val="22"/>
        </w:rPr>
        <w:t>4.089.266,39</w:t>
      </w:r>
      <w:r w:rsidRPr="004A7C69">
        <w:rPr>
          <w:rFonts w:ascii="Tahoma" w:hAnsi="Tahoma" w:cs="Tahoma"/>
          <w:b/>
          <w:bCs/>
          <w:sz w:val="22"/>
          <w:szCs w:val="22"/>
        </w:rPr>
        <w:t xml:space="preserve"> </w:t>
      </w:r>
      <w:r w:rsidRPr="004A7C69">
        <w:rPr>
          <w:rFonts w:ascii="Tahoma" w:hAnsi="Tahoma" w:cs="Tahoma"/>
          <w:sz w:val="22"/>
          <w:szCs w:val="22"/>
        </w:rPr>
        <w:t>έναντι του ποσού των €</w:t>
      </w:r>
      <w:r w:rsidR="00E42B87" w:rsidRPr="004A7C69">
        <w:rPr>
          <w:rFonts w:ascii="Tahoma" w:hAnsi="Tahoma" w:cs="Tahoma"/>
          <w:sz w:val="22"/>
          <w:szCs w:val="22"/>
        </w:rPr>
        <w:t xml:space="preserve"> </w:t>
      </w:r>
      <w:r w:rsidR="00485A4C" w:rsidRPr="004A7C69">
        <w:rPr>
          <w:rFonts w:ascii="Tahoma" w:hAnsi="Tahoma" w:cs="Tahoma"/>
          <w:bCs/>
          <w:sz w:val="22"/>
          <w:szCs w:val="22"/>
          <w:lang w:val="en-US"/>
        </w:rPr>
        <w:t>4.106.555</w:t>
      </w:r>
      <w:r w:rsidR="00485A4C" w:rsidRPr="004A7C69">
        <w:rPr>
          <w:rFonts w:ascii="Tahoma" w:hAnsi="Tahoma" w:cs="Tahoma"/>
          <w:bCs/>
          <w:sz w:val="22"/>
          <w:szCs w:val="22"/>
        </w:rPr>
        <w:t>,94</w:t>
      </w:r>
      <w:r w:rsidRPr="004A7C69">
        <w:rPr>
          <w:rFonts w:ascii="Tahoma" w:hAnsi="Tahoma" w:cs="Tahoma"/>
          <w:sz w:val="22"/>
          <w:szCs w:val="22"/>
        </w:rPr>
        <w:t xml:space="preserve"> της προηγούμενης χρήσης αντιστοιχούν σε ποσοστό </w:t>
      </w:r>
      <w:r w:rsidR="00485A4C" w:rsidRPr="004A7C69">
        <w:rPr>
          <w:rFonts w:ascii="Tahoma" w:hAnsi="Tahoma" w:cs="Tahoma"/>
          <w:sz w:val="22"/>
          <w:szCs w:val="22"/>
        </w:rPr>
        <w:t>71,34</w:t>
      </w:r>
      <w:r w:rsidR="003F3381" w:rsidRPr="004A7C69">
        <w:rPr>
          <w:rFonts w:ascii="Tahoma" w:hAnsi="Tahoma" w:cs="Tahoma"/>
          <w:sz w:val="22"/>
          <w:szCs w:val="22"/>
        </w:rPr>
        <w:t xml:space="preserve"> </w:t>
      </w:r>
      <w:r w:rsidRPr="004A7C69">
        <w:rPr>
          <w:rFonts w:ascii="Tahoma" w:hAnsi="Tahoma" w:cs="Tahoma"/>
          <w:sz w:val="22"/>
          <w:szCs w:val="22"/>
        </w:rPr>
        <w:t>% του συνολικού παθητικού της Εταιρείας.</w:t>
      </w:r>
    </w:p>
    <w:p w:rsidR="000327E0" w:rsidRPr="00485A4C" w:rsidRDefault="000327E0" w:rsidP="000327E0">
      <w:pPr>
        <w:autoSpaceDE w:val="0"/>
        <w:autoSpaceDN w:val="0"/>
        <w:adjustRightInd w:val="0"/>
        <w:spacing w:line="360" w:lineRule="auto"/>
        <w:ind w:left="-540"/>
        <w:jc w:val="both"/>
        <w:rPr>
          <w:rFonts w:ascii="Tahoma" w:hAnsi="Tahoma" w:cs="Tahoma"/>
          <w:sz w:val="22"/>
          <w:szCs w:val="22"/>
        </w:rPr>
      </w:pPr>
    </w:p>
    <w:p w:rsidR="000327E0" w:rsidRPr="00485A4C" w:rsidRDefault="000327E0" w:rsidP="000327E0">
      <w:pPr>
        <w:jc w:val="both"/>
        <w:rPr>
          <w:rFonts w:ascii="Tahoma" w:hAnsi="Tahoma" w:cs="Tahoma"/>
          <w:bCs/>
          <w:i/>
          <w:iCs/>
          <w:sz w:val="22"/>
          <w:szCs w:val="22"/>
          <w:u w:val="single"/>
        </w:rPr>
      </w:pPr>
      <w:r w:rsidRPr="00485A4C">
        <w:rPr>
          <w:rFonts w:ascii="Tahoma" w:hAnsi="Tahoma" w:cs="Tahoma"/>
          <w:bCs/>
          <w:i/>
          <w:iCs/>
          <w:sz w:val="22"/>
          <w:szCs w:val="22"/>
          <w:u w:val="single"/>
        </w:rPr>
        <w:t>Επενδύσεις σε ενσώματα και ασώματα περιουσιακά στοιχεία</w:t>
      </w:r>
    </w:p>
    <w:p w:rsidR="000327E0" w:rsidRPr="00485A4C" w:rsidRDefault="000327E0" w:rsidP="000327E0">
      <w:pPr>
        <w:jc w:val="both"/>
        <w:rPr>
          <w:rFonts w:ascii="Tahoma" w:hAnsi="Tahoma" w:cs="Tahoma"/>
          <w:bCs/>
          <w:iCs/>
          <w:sz w:val="22"/>
          <w:szCs w:val="22"/>
        </w:rPr>
      </w:pPr>
    </w:p>
    <w:p w:rsidR="000327E0" w:rsidRPr="00485A4C" w:rsidRDefault="000327E0" w:rsidP="000327E0">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Κατά την κλειόμενη χρήση 31.12.201</w:t>
      </w:r>
      <w:r w:rsidR="008577AB">
        <w:rPr>
          <w:rFonts w:ascii="Tahoma" w:hAnsi="Tahoma" w:cs="Tahoma"/>
          <w:sz w:val="22"/>
          <w:szCs w:val="22"/>
        </w:rPr>
        <w:t>8</w:t>
      </w:r>
      <w:r w:rsidRPr="00485A4C">
        <w:rPr>
          <w:rFonts w:ascii="Tahoma" w:hAnsi="Tahoma" w:cs="Tahoma"/>
          <w:sz w:val="22"/>
          <w:szCs w:val="22"/>
        </w:rPr>
        <w:t xml:space="preserve"> δεν διενεργήθηκαν σημαντικές επενδύσεις σε ενσώματα περιουσιακά στοιχεία ωστόσο η Εταιρεία συνέχισε τις επενδύσεις της στην εξέλιξη και βελτίωση του </w:t>
      </w:r>
      <w:r w:rsidR="005A6A05" w:rsidRPr="00485A4C">
        <w:rPr>
          <w:rFonts w:ascii="Tahoma" w:hAnsi="Tahoma" w:cs="Tahoma"/>
          <w:sz w:val="22"/>
          <w:szCs w:val="22"/>
        </w:rPr>
        <w:t>εξοπλισμού</w:t>
      </w:r>
      <w:r w:rsidRPr="00485A4C">
        <w:rPr>
          <w:rFonts w:ascii="Tahoma" w:hAnsi="Tahoma" w:cs="Tahoma"/>
          <w:sz w:val="22"/>
          <w:szCs w:val="22"/>
        </w:rPr>
        <w:t xml:space="preserve"> της, από το οποίο προσδοκά σημαντικά οικονομικά οφέλη τις επόμενες χρήσεις.</w:t>
      </w:r>
    </w:p>
    <w:p w:rsidR="000327E0" w:rsidRPr="00485A4C" w:rsidRDefault="000327E0" w:rsidP="000327E0">
      <w:pPr>
        <w:jc w:val="both"/>
        <w:rPr>
          <w:rFonts w:ascii="Tahoma" w:hAnsi="Tahoma" w:cs="Tahoma"/>
          <w:bCs/>
          <w:i/>
          <w:iCs/>
          <w:sz w:val="22"/>
          <w:szCs w:val="22"/>
          <w:u w:val="single"/>
        </w:rPr>
      </w:pPr>
    </w:p>
    <w:p w:rsidR="000327E0" w:rsidRPr="00485A4C" w:rsidRDefault="000327E0" w:rsidP="000327E0">
      <w:pPr>
        <w:jc w:val="both"/>
        <w:rPr>
          <w:rFonts w:ascii="Tahoma" w:hAnsi="Tahoma" w:cs="Tahoma"/>
          <w:bCs/>
          <w:i/>
          <w:iCs/>
          <w:sz w:val="22"/>
          <w:szCs w:val="22"/>
          <w:u w:val="single"/>
        </w:rPr>
      </w:pPr>
      <w:r w:rsidRPr="00485A4C">
        <w:rPr>
          <w:rFonts w:ascii="Tahoma" w:hAnsi="Tahoma" w:cs="Tahoma"/>
          <w:bCs/>
          <w:i/>
          <w:iCs/>
          <w:sz w:val="22"/>
          <w:szCs w:val="22"/>
          <w:u w:val="single"/>
        </w:rPr>
        <w:t>Σημαντικά γεγονότα κλειόμενης χρήσης.</w:t>
      </w:r>
    </w:p>
    <w:p w:rsidR="000327E0" w:rsidRPr="00485A4C" w:rsidRDefault="000327E0" w:rsidP="000327E0">
      <w:pPr>
        <w:jc w:val="both"/>
        <w:rPr>
          <w:rFonts w:ascii="Tahoma" w:hAnsi="Tahoma" w:cs="Tahoma"/>
          <w:bCs/>
          <w:iCs/>
          <w:sz w:val="22"/>
          <w:szCs w:val="22"/>
        </w:rPr>
      </w:pPr>
    </w:p>
    <w:p w:rsidR="000327E0" w:rsidRPr="00485A4C" w:rsidRDefault="0047500B" w:rsidP="000327E0">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Δεν υπάρχουν σημαντικά γεγονότα στην κλειόμενη χρήση που να χρήζουν ιδιαίτερης αναφοράς.</w:t>
      </w:r>
    </w:p>
    <w:p w:rsidR="000327E0" w:rsidRPr="00485A4C" w:rsidRDefault="000327E0" w:rsidP="000327E0">
      <w:pPr>
        <w:autoSpaceDE w:val="0"/>
        <w:autoSpaceDN w:val="0"/>
        <w:adjustRightInd w:val="0"/>
        <w:spacing w:line="360" w:lineRule="auto"/>
        <w:ind w:left="-540"/>
        <w:jc w:val="both"/>
        <w:rPr>
          <w:rFonts w:ascii="Tahoma" w:hAnsi="Tahoma" w:cs="Tahoma"/>
          <w:b/>
          <w:sz w:val="22"/>
          <w:szCs w:val="22"/>
        </w:rPr>
      </w:pPr>
      <w:r w:rsidRPr="00485A4C">
        <w:rPr>
          <w:rFonts w:ascii="Tahoma" w:hAnsi="Tahoma" w:cs="Tahoma"/>
          <w:b/>
          <w:sz w:val="22"/>
          <w:szCs w:val="22"/>
        </w:rPr>
        <w:t>2.  ΟΙΚΟΝΟΜΙΚΗ ΘΕΣΗ ΤΗΣ ΕΤΑΙΡΕΙΑΣ</w:t>
      </w:r>
    </w:p>
    <w:p w:rsidR="000327E0" w:rsidRPr="00485A4C" w:rsidRDefault="000327E0" w:rsidP="000327E0">
      <w:pPr>
        <w:jc w:val="both"/>
        <w:rPr>
          <w:rFonts w:ascii="Tahoma" w:hAnsi="Tahoma" w:cs="Tahoma"/>
          <w:b/>
          <w:bCs/>
          <w:iCs/>
          <w:sz w:val="22"/>
          <w:szCs w:val="22"/>
        </w:rPr>
      </w:pPr>
    </w:p>
    <w:p w:rsidR="000327E0" w:rsidRPr="00485A4C" w:rsidRDefault="000327E0" w:rsidP="000327E0">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οικονομική κατάσταση της Εταιρείας κατά την 31.12.201</w:t>
      </w:r>
      <w:r w:rsidR="008577AB">
        <w:rPr>
          <w:rFonts w:ascii="Tahoma" w:hAnsi="Tahoma" w:cs="Tahoma"/>
          <w:sz w:val="22"/>
          <w:szCs w:val="22"/>
        </w:rPr>
        <w:t>8</w:t>
      </w:r>
      <w:r w:rsidRPr="00485A4C">
        <w:rPr>
          <w:rFonts w:ascii="Tahoma" w:hAnsi="Tahoma" w:cs="Tahoma"/>
          <w:sz w:val="22"/>
          <w:szCs w:val="22"/>
        </w:rPr>
        <w:t xml:space="preserve"> κρίνεται ικανοποιητική.  Η εταιρεία αξιολογεί τα αποτελέσματα και την απόδοσή τ</w:t>
      </w:r>
      <w:r w:rsidR="002638DE" w:rsidRPr="00485A4C">
        <w:rPr>
          <w:rFonts w:ascii="Tahoma" w:hAnsi="Tahoma" w:cs="Tahoma"/>
          <w:sz w:val="22"/>
          <w:szCs w:val="22"/>
        </w:rPr>
        <w:t>ης</w:t>
      </w:r>
      <w:r w:rsidRPr="00485A4C">
        <w:rPr>
          <w:rFonts w:ascii="Tahoma" w:hAnsi="Tahoma" w:cs="Tahoma"/>
          <w:sz w:val="22"/>
          <w:szCs w:val="22"/>
        </w:rPr>
        <w:t xml:space="preserve"> σε μηνιαία βάση εντοπίζοντας έγκαιρα και αποτελεσματικά τυχόν αποκλίσεις από τους στόχους, λαμβάνοντας διορθωτικά μέτρα.  Η αποδοτικότητα της Εταιρείας μετράται με τη χρήση των χρηματοοικονομικών δεικτών απόδοσης που χρησιμοποιούνται διεθνώς:</w:t>
      </w:r>
    </w:p>
    <w:p w:rsidR="000327E0" w:rsidRPr="00485A4C" w:rsidRDefault="000327E0" w:rsidP="000327E0">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Οι βασικοί χρηματοοικονομικοί δείκτες της Εταιρείας  για τη χρήση 01.01.201</w:t>
      </w:r>
      <w:r w:rsidR="008577AB">
        <w:rPr>
          <w:rFonts w:ascii="Tahoma" w:hAnsi="Tahoma" w:cs="Tahoma"/>
          <w:sz w:val="22"/>
          <w:szCs w:val="22"/>
        </w:rPr>
        <w:t>8</w:t>
      </w:r>
      <w:r w:rsidRPr="00485A4C">
        <w:rPr>
          <w:rFonts w:ascii="Tahoma" w:hAnsi="Tahoma" w:cs="Tahoma"/>
          <w:sz w:val="22"/>
          <w:szCs w:val="22"/>
        </w:rPr>
        <w:t xml:space="preserve"> – 31.12.201</w:t>
      </w:r>
      <w:r w:rsidR="008577AB">
        <w:rPr>
          <w:rFonts w:ascii="Tahoma" w:hAnsi="Tahoma" w:cs="Tahoma"/>
          <w:sz w:val="22"/>
          <w:szCs w:val="22"/>
        </w:rPr>
        <w:t>8</w:t>
      </w:r>
      <w:r w:rsidRPr="00485A4C">
        <w:rPr>
          <w:rFonts w:ascii="Tahoma" w:hAnsi="Tahoma" w:cs="Tahoma"/>
          <w:sz w:val="22"/>
          <w:szCs w:val="22"/>
        </w:rPr>
        <w:t xml:space="preserve"> και την αντίστοιχη προηγούμενη </w:t>
      </w:r>
      <w:r w:rsidR="003E18A4" w:rsidRPr="00485A4C">
        <w:rPr>
          <w:rFonts w:ascii="Tahoma" w:hAnsi="Tahoma" w:cs="Tahoma"/>
          <w:sz w:val="22"/>
          <w:szCs w:val="22"/>
        </w:rPr>
        <w:t>01.01.201</w:t>
      </w:r>
      <w:r w:rsidR="008577AB">
        <w:rPr>
          <w:rFonts w:ascii="Tahoma" w:hAnsi="Tahoma" w:cs="Tahoma"/>
          <w:sz w:val="22"/>
          <w:szCs w:val="22"/>
        </w:rPr>
        <w:t>7</w:t>
      </w:r>
      <w:r w:rsidR="003E18A4" w:rsidRPr="00485A4C">
        <w:rPr>
          <w:rFonts w:ascii="Tahoma" w:hAnsi="Tahoma" w:cs="Tahoma"/>
          <w:sz w:val="22"/>
          <w:szCs w:val="22"/>
        </w:rPr>
        <w:t xml:space="preserve"> – 31.12.201</w:t>
      </w:r>
      <w:r w:rsidR="008577AB">
        <w:rPr>
          <w:rFonts w:ascii="Tahoma" w:hAnsi="Tahoma" w:cs="Tahoma"/>
          <w:sz w:val="22"/>
          <w:szCs w:val="22"/>
        </w:rPr>
        <w:t>7</w:t>
      </w:r>
      <w:r w:rsidRPr="00485A4C">
        <w:rPr>
          <w:rFonts w:ascii="Tahoma" w:hAnsi="Tahoma" w:cs="Tahoma"/>
          <w:sz w:val="22"/>
          <w:szCs w:val="22"/>
        </w:rPr>
        <w:t xml:space="preserve"> έχουν ως εξής:</w:t>
      </w:r>
    </w:p>
    <w:p w:rsidR="0042352F" w:rsidRPr="00485A4C" w:rsidRDefault="0042352F" w:rsidP="0042352F">
      <w:pPr>
        <w:jc w:val="both"/>
        <w:rPr>
          <w:rFonts w:ascii="Tahoma" w:hAnsi="Tahoma" w:cs="Tahoma"/>
          <w:b/>
          <w:bCs/>
          <w:iCs/>
          <w:sz w:val="22"/>
          <w:szCs w:val="22"/>
          <w:lang w:val="en-US"/>
        </w:rPr>
      </w:pPr>
      <w:r w:rsidRPr="00485A4C">
        <w:rPr>
          <w:rFonts w:ascii="Tahoma" w:hAnsi="Tahoma" w:cs="Tahoma"/>
          <w:b/>
          <w:bCs/>
          <w:iCs/>
          <w:sz w:val="22"/>
          <w:szCs w:val="22"/>
        </w:rPr>
        <w:t>α)  Αριθμοδείκτες οικονομικής διάρθρωσης.</w:t>
      </w:r>
    </w:p>
    <w:p w:rsidR="002C407F" w:rsidRPr="00485A4C" w:rsidRDefault="002C407F" w:rsidP="0042352F">
      <w:pPr>
        <w:jc w:val="both"/>
        <w:rPr>
          <w:rFonts w:ascii="Tahoma" w:hAnsi="Tahoma" w:cs="Tahoma"/>
          <w:b/>
          <w:bCs/>
          <w:iCs/>
          <w:sz w:val="22"/>
          <w:szCs w:val="22"/>
          <w:highlight w:val="red"/>
          <w:lang w:val="en-US"/>
        </w:rPr>
      </w:pPr>
    </w:p>
    <w:tbl>
      <w:tblPr>
        <w:tblW w:w="9004" w:type="dxa"/>
        <w:tblLook w:val="04A0" w:firstRow="1" w:lastRow="0" w:firstColumn="1" w:lastColumn="0" w:noHBand="0" w:noVBand="1"/>
      </w:tblPr>
      <w:tblGrid>
        <w:gridCol w:w="3376"/>
        <w:gridCol w:w="1732"/>
        <w:gridCol w:w="984"/>
        <w:gridCol w:w="276"/>
        <w:gridCol w:w="1631"/>
        <w:gridCol w:w="1005"/>
      </w:tblGrid>
      <w:tr w:rsidR="004A7C69" w:rsidTr="004A7C69">
        <w:trPr>
          <w:trHeight w:val="315"/>
        </w:trPr>
        <w:tc>
          <w:tcPr>
            <w:tcW w:w="3376" w:type="dxa"/>
            <w:tcBorders>
              <w:top w:val="nil"/>
              <w:left w:val="nil"/>
              <w:bottom w:val="nil"/>
              <w:right w:val="nil"/>
            </w:tcBorders>
            <w:shd w:val="clear" w:color="000000" w:fill="E6E6E6"/>
            <w:noWrap/>
            <w:vAlign w:val="bottom"/>
            <w:hideMark/>
          </w:tcPr>
          <w:p w:rsidR="004A7C69" w:rsidRDefault="004A7C69">
            <w:pPr>
              <w:rPr>
                <w:rFonts w:ascii="Tahoma" w:hAnsi="Tahoma" w:cs="Tahoma"/>
                <w:b/>
                <w:bCs/>
                <w:sz w:val="18"/>
                <w:szCs w:val="18"/>
              </w:rPr>
            </w:pPr>
            <w:r>
              <w:rPr>
                <w:rFonts w:ascii="Tahoma" w:hAnsi="Tahoma" w:cs="Tahoma"/>
                <w:b/>
                <w:bCs/>
                <w:sz w:val="18"/>
                <w:szCs w:val="18"/>
              </w:rPr>
              <w:t> </w:t>
            </w:r>
          </w:p>
        </w:tc>
        <w:tc>
          <w:tcPr>
            <w:tcW w:w="2716" w:type="dxa"/>
            <w:gridSpan w:val="2"/>
            <w:tcBorders>
              <w:top w:val="nil"/>
              <w:left w:val="nil"/>
              <w:bottom w:val="nil"/>
              <w:right w:val="nil"/>
            </w:tcBorders>
            <w:shd w:val="clear" w:color="000000" w:fill="E6E6E6"/>
            <w:noWrap/>
            <w:vAlign w:val="bottom"/>
            <w:hideMark/>
          </w:tcPr>
          <w:p w:rsidR="004A7C69" w:rsidRDefault="004A7C69">
            <w:pPr>
              <w:jc w:val="center"/>
              <w:rPr>
                <w:rFonts w:ascii="Tahoma" w:hAnsi="Tahoma" w:cs="Tahoma"/>
                <w:b/>
                <w:bCs/>
                <w:sz w:val="18"/>
                <w:szCs w:val="18"/>
              </w:rPr>
            </w:pPr>
            <w:r>
              <w:rPr>
                <w:rFonts w:ascii="Tahoma" w:hAnsi="Tahoma" w:cs="Tahoma"/>
                <w:b/>
                <w:bCs/>
                <w:sz w:val="18"/>
                <w:szCs w:val="18"/>
              </w:rPr>
              <w:t>31.12.2018</w:t>
            </w:r>
          </w:p>
        </w:tc>
        <w:tc>
          <w:tcPr>
            <w:tcW w:w="276" w:type="dxa"/>
            <w:tcBorders>
              <w:top w:val="nil"/>
              <w:left w:val="nil"/>
              <w:bottom w:val="nil"/>
              <w:right w:val="nil"/>
            </w:tcBorders>
            <w:shd w:val="clear" w:color="000000" w:fill="E6E6E6"/>
            <w:noWrap/>
            <w:vAlign w:val="bottom"/>
            <w:hideMark/>
          </w:tcPr>
          <w:p w:rsidR="004A7C69" w:rsidRDefault="004A7C69">
            <w:pPr>
              <w:rPr>
                <w:rFonts w:ascii="Tahoma" w:hAnsi="Tahoma" w:cs="Tahoma"/>
                <w:b/>
                <w:bCs/>
                <w:sz w:val="18"/>
                <w:szCs w:val="18"/>
              </w:rPr>
            </w:pPr>
            <w:r>
              <w:rPr>
                <w:rFonts w:ascii="Tahoma" w:hAnsi="Tahoma" w:cs="Tahoma"/>
                <w:b/>
                <w:bCs/>
                <w:sz w:val="18"/>
                <w:szCs w:val="18"/>
              </w:rPr>
              <w:t> </w:t>
            </w:r>
          </w:p>
        </w:tc>
        <w:tc>
          <w:tcPr>
            <w:tcW w:w="2636" w:type="dxa"/>
            <w:gridSpan w:val="2"/>
            <w:tcBorders>
              <w:top w:val="nil"/>
              <w:left w:val="nil"/>
              <w:bottom w:val="nil"/>
              <w:right w:val="nil"/>
            </w:tcBorders>
            <w:shd w:val="clear" w:color="000000" w:fill="E6E6E6"/>
            <w:noWrap/>
            <w:vAlign w:val="bottom"/>
            <w:hideMark/>
          </w:tcPr>
          <w:p w:rsidR="004A7C69" w:rsidRDefault="004A7C69">
            <w:pPr>
              <w:jc w:val="center"/>
              <w:rPr>
                <w:rFonts w:ascii="Tahoma" w:hAnsi="Tahoma" w:cs="Tahoma"/>
                <w:b/>
                <w:bCs/>
                <w:sz w:val="18"/>
                <w:szCs w:val="18"/>
              </w:rPr>
            </w:pPr>
            <w:r>
              <w:rPr>
                <w:rFonts w:ascii="Tahoma" w:hAnsi="Tahoma" w:cs="Tahoma"/>
                <w:b/>
                <w:bCs/>
                <w:sz w:val="18"/>
                <w:szCs w:val="18"/>
              </w:rPr>
              <w:t>31.12.2017</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b/>
                <w:bCs/>
                <w:sz w:val="18"/>
                <w:szCs w:val="18"/>
              </w:rPr>
            </w:pPr>
          </w:p>
        </w:tc>
        <w:tc>
          <w:tcPr>
            <w:tcW w:w="1732" w:type="dxa"/>
            <w:tcBorders>
              <w:top w:val="nil"/>
              <w:left w:val="nil"/>
              <w:bottom w:val="nil"/>
              <w:right w:val="nil"/>
            </w:tcBorders>
            <w:shd w:val="clear" w:color="auto" w:fill="auto"/>
            <w:vAlign w:val="bottom"/>
            <w:hideMark/>
          </w:tcPr>
          <w:p w:rsidR="004A7C69" w:rsidRDefault="004A7C69">
            <w:pPr>
              <w:rPr>
                <w:sz w:val="20"/>
                <w:szCs w:val="20"/>
              </w:rPr>
            </w:pPr>
          </w:p>
        </w:tc>
        <w:tc>
          <w:tcPr>
            <w:tcW w:w="984" w:type="dxa"/>
            <w:tcBorders>
              <w:top w:val="nil"/>
              <w:left w:val="nil"/>
              <w:bottom w:val="nil"/>
              <w:right w:val="nil"/>
            </w:tcBorders>
            <w:shd w:val="clear" w:color="auto" w:fill="auto"/>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vAlign w:val="bottom"/>
            <w:hideMark/>
          </w:tcPr>
          <w:p w:rsidR="004A7C69" w:rsidRDefault="004A7C69">
            <w:pPr>
              <w:jc w:val="center"/>
              <w:rPr>
                <w:sz w:val="20"/>
                <w:szCs w:val="20"/>
              </w:rPr>
            </w:pPr>
          </w:p>
        </w:tc>
        <w:tc>
          <w:tcPr>
            <w:tcW w:w="1631" w:type="dxa"/>
            <w:tcBorders>
              <w:top w:val="nil"/>
              <w:left w:val="nil"/>
              <w:bottom w:val="nil"/>
              <w:right w:val="nil"/>
            </w:tcBorders>
            <w:shd w:val="clear" w:color="auto" w:fill="auto"/>
            <w:vAlign w:val="bottom"/>
            <w:hideMark/>
          </w:tcPr>
          <w:p w:rsidR="004A7C69" w:rsidRDefault="004A7C69">
            <w:pPr>
              <w:jc w:val="center"/>
              <w:rPr>
                <w:sz w:val="20"/>
                <w:szCs w:val="20"/>
              </w:rPr>
            </w:pPr>
          </w:p>
        </w:tc>
        <w:tc>
          <w:tcPr>
            <w:tcW w:w="1005" w:type="dxa"/>
            <w:tcBorders>
              <w:top w:val="nil"/>
              <w:left w:val="nil"/>
              <w:bottom w:val="nil"/>
              <w:right w:val="nil"/>
            </w:tcBorders>
            <w:shd w:val="clear" w:color="auto" w:fill="auto"/>
            <w:vAlign w:val="bottom"/>
            <w:hideMark/>
          </w:tcPr>
          <w:p w:rsidR="004A7C69" w:rsidRDefault="004A7C69">
            <w:pPr>
              <w:jc w:val="center"/>
              <w:rPr>
                <w:sz w:val="20"/>
                <w:szCs w:val="20"/>
              </w:rPr>
            </w:pPr>
          </w:p>
        </w:tc>
      </w:tr>
      <w:tr w:rsidR="004A7C69" w:rsidTr="004A7C69">
        <w:trPr>
          <w:trHeight w:val="228"/>
        </w:trPr>
        <w:tc>
          <w:tcPr>
            <w:tcW w:w="3376"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Κυκλοφορούν ενεργητικό</w:t>
            </w:r>
          </w:p>
        </w:tc>
        <w:tc>
          <w:tcPr>
            <w:tcW w:w="1732"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2.886.473,09</w:t>
            </w:r>
          </w:p>
        </w:tc>
        <w:tc>
          <w:tcPr>
            <w:tcW w:w="984"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50,36%</w:t>
            </w:r>
          </w:p>
        </w:tc>
        <w:tc>
          <w:tcPr>
            <w:tcW w:w="27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p>
        </w:tc>
        <w:tc>
          <w:tcPr>
            <w:tcW w:w="1631"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2.742.691,78</w:t>
            </w:r>
          </w:p>
        </w:tc>
        <w:tc>
          <w:tcPr>
            <w:tcW w:w="1005"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46,97%</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Σύνολο ενεργητικού</w:t>
            </w:r>
          </w:p>
        </w:tc>
        <w:tc>
          <w:tcPr>
            <w:tcW w:w="1732"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5.732.007,21</w:t>
            </w:r>
          </w:p>
        </w:tc>
        <w:tc>
          <w:tcPr>
            <w:tcW w:w="984"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5.838.694,83</w:t>
            </w:r>
          </w:p>
        </w:tc>
        <w:tc>
          <w:tcPr>
            <w:tcW w:w="1005"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3376"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Πάγιο ενεργητικό</w:t>
            </w:r>
          </w:p>
        </w:tc>
        <w:tc>
          <w:tcPr>
            <w:tcW w:w="1732"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2.845.534,12</w:t>
            </w:r>
          </w:p>
        </w:tc>
        <w:tc>
          <w:tcPr>
            <w:tcW w:w="984"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49,64%</w:t>
            </w:r>
          </w:p>
        </w:tc>
        <w:tc>
          <w:tcPr>
            <w:tcW w:w="27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p>
        </w:tc>
        <w:tc>
          <w:tcPr>
            <w:tcW w:w="1631"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3.096.003,05</w:t>
            </w:r>
          </w:p>
        </w:tc>
        <w:tc>
          <w:tcPr>
            <w:tcW w:w="1005"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53,03%</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Σύνολο ενεργητικού</w:t>
            </w:r>
          </w:p>
        </w:tc>
        <w:tc>
          <w:tcPr>
            <w:tcW w:w="1732"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5.732.007,21</w:t>
            </w:r>
          </w:p>
        </w:tc>
        <w:tc>
          <w:tcPr>
            <w:tcW w:w="984"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5.838.694,83</w:t>
            </w:r>
          </w:p>
        </w:tc>
        <w:tc>
          <w:tcPr>
            <w:tcW w:w="1005"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360"/>
        </w:trPr>
        <w:tc>
          <w:tcPr>
            <w:tcW w:w="9004" w:type="dxa"/>
            <w:gridSpan w:val="6"/>
            <w:tcBorders>
              <w:top w:val="nil"/>
              <w:left w:val="nil"/>
              <w:bottom w:val="nil"/>
              <w:right w:val="nil"/>
            </w:tcBorders>
            <w:shd w:val="clear" w:color="auto" w:fill="auto"/>
            <w:vAlign w:val="bottom"/>
            <w:hideMark/>
          </w:tcPr>
          <w:p w:rsidR="004A7C69" w:rsidRDefault="004A7C69">
            <w:pPr>
              <w:jc w:val="both"/>
              <w:rPr>
                <w:rFonts w:ascii="Tahoma" w:hAnsi="Tahoma" w:cs="Tahoma"/>
                <w:sz w:val="18"/>
                <w:szCs w:val="18"/>
              </w:rPr>
            </w:pPr>
            <w:r>
              <w:rPr>
                <w:rFonts w:ascii="Tahoma" w:hAnsi="Tahoma" w:cs="Tahoma"/>
                <w:sz w:val="18"/>
                <w:szCs w:val="18"/>
              </w:rPr>
              <w:t>Οι παραπάνω δείκτες δείχνουν την αναλογία κεφαλαίων που έχει διατεθεί σε κυκλοφοριακό και πάγιο ενεργητικό.</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jc w:val="both"/>
              <w:rPr>
                <w:rFonts w:ascii="Tahoma" w:hAnsi="Tahoma" w:cs="Tahoma"/>
                <w:sz w:val="18"/>
                <w:szCs w:val="18"/>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jc w:val="right"/>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jc w:val="right"/>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3376"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Ίδια κεφάλαια</w:t>
            </w:r>
          </w:p>
        </w:tc>
        <w:tc>
          <w:tcPr>
            <w:tcW w:w="1732"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4.089.266,39</w:t>
            </w:r>
          </w:p>
        </w:tc>
        <w:tc>
          <w:tcPr>
            <w:tcW w:w="984"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248,93%</w:t>
            </w:r>
          </w:p>
        </w:tc>
        <w:tc>
          <w:tcPr>
            <w:tcW w:w="27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p>
        </w:tc>
        <w:tc>
          <w:tcPr>
            <w:tcW w:w="1631"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4.106.555,94</w:t>
            </w:r>
          </w:p>
        </w:tc>
        <w:tc>
          <w:tcPr>
            <w:tcW w:w="1005"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237,08%</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Σύνολο υποχρεώσεων</w:t>
            </w:r>
          </w:p>
        </w:tc>
        <w:tc>
          <w:tcPr>
            <w:tcW w:w="1732"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1.642.740,82</w:t>
            </w:r>
          </w:p>
        </w:tc>
        <w:tc>
          <w:tcPr>
            <w:tcW w:w="984"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1.732.138,89</w:t>
            </w:r>
          </w:p>
        </w:tc>
        <w:tc>
          <w:tcPr>
            <w:tcW w:w="1005"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9004" w:type="dxa"/>
            <w:gridSpan w:val="6"/>
            <w:tcBorders>
              <w:top w:val="nil"/>
              <w:left w:val="nil"/>
              <w:bottom w:val="nil"/>
              <w:right w:val="nil"/>
            </w:tcBorders>
            <w:shd w:val="clear" w:color="auto" w:fill="auto"/>
            <w:vAlign w:val="bottom"/>
            <w:hideMark/>
          </w:tcPr>
          <w:p w:rsidR="004A7C69" w:rsidRDefault="004A7C69">
            <w:pPr>
              <w:jc w:val="both"/>
              <w:rPr>
                <w:rFonts w:ascii="Tahoma" w:hAnsi="Tahoma" w:cs="Tahoma"/>
                <w:sz w:val="18"/>
                <w:szCs w:val="18"/>
              </w:rPr>
            </w:pPr>
            <w:r>
              <w:rPr>
                <w:rFonts w:ascii="Tahoma" w:hAnsi="Tahoma" w:cs="Tahoma"/>
                <w:sz w:val="18"/>
                <w:szCs w:val="18"/>
              </w:rPr>
              <w:t>Ο παραπάνω δείκτης  δείχνει την οικονομική αυτάρκεια του ομίλου και της Εταιρείας.</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jc w:val="both"/>
              <w:rPr>
                <w:rFonts w:ascii="Tahoma" w:hAnsi="Tahoma" w:cs="Tahoma"/>
                <w:sz w:val="18"/>
                <w:szCs w:val="18"/>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3376"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Σύνολο υποχρεώσεων</w:t>
            </w:r>
          </w:p>
        </w:tc>
        <w:tc>
          <w:tcPr>
            <w:tcW w:w="1732"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1.642.740,82</w:t>
            </w:r>
          </w:p>
        </w:tc>
        <w:tc>
          <w:tcPr>
            <w:tcW w:w="984"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28,66%</w:t>
            </w:r>
          </w:p>
        </w:tc>
        <w:tc>
          <w:tcPr>
            <w:tcW w:w="27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p>
        </w:tc>
        <w:tc>
          <w:tcPr>
            <w:tcW w:w="1631"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1.732.138,89</w:t>
            </w:r>
          </w:p>
        </w:tc>
        <w:tc>
          <w:tcPr>
            <w:tcW w:w="1005"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29,67%</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Σύνολο παθητικού</w:t>
            </w:r>
          </w:p>
        </w:tc>
        <w:tc>
          <w:tcPr>
            <w:tcW w:w="1732"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5.732.007,21</w:t>
            </w:r>
          </w:p>
        </w:tc>
        <w:tc>
          <w:tcPr>
            <w:tcW w:w="984"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5.838.694,83</w:t>
            </w:r>
          </w:p>
        </w:tc>
        <w:tc>
          <w:tcPr>
            <w:tcW w:w="1005"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3376"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Ίδια κεφάλαια</w:t>
            </w:r>
          </w:p>
        </w:tc>
        <w:tc>
          <w:tcPr>
            <w:tcW w:w="1732"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4.089.266,39</w:t>
            </w:r>
          </w:p>
        </w:tc>
        <w:tc>
          <w:tcPr>
            <w:tcW w:w="984"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71,34%</w:t>
            </w:r>
          </w:p>
        </w:tc>
        <w:tc>
          <w:tcPr>
            <w:tcW w:w="27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p>
        </w:tc>
        <w:tc>
          <w:tcPr>
            <w:tcW w:w="1631"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4.106.555,94</w:t>
            </w:r>
          </w:p>
        </w:tc>
        <w:tc>
          <w:tcPr>
            <w:tcW w:w="1005"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70,33%</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Σύνολο παθητικού</w:t>
            </w:r>
          </w:p>
        </w:tc>
        <w:tc>
          <w:tcPr>
            <w:tcW w:w="1732"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5.732.007,21</w:t>
            </w:r>
          </w:p>
        </w:tc>
        <w:tc>
          <w:tcPr>
            <w:tcW w:w="984"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5.838.694,83</w:t>
            </w:r>
          </w:p>
        </w:tc>
        <w:tc>
          <w:tcPr>
            <w:tcW w:w="1005"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9004" w:type="dxa"/>
            <w:gridSpan w:val="6"/>
            <w:tcBorders>
              <w:top w:val="nil"/>
              <w:left w:val="nil"/>
              <w:bottom w:val="nil"/>
              <w:right w:val="nil"/>
            </w:tcBorders>
            <w:shd w:val="clear" w:color="auto" w:fill="auto"/>
            <w:vAlign w:val="bottom"/>
            <w:hideMark/>
          </w:tcPr>
          <w:p w:rsidR="004A7C69" w:rsidRDefault="004A7C69">
            <w:pPr>
              <w:jc w:val="both"/>
              <w:rPr>
                <w:rFonts w:ascii="Tahoma" w:hAnsi="Tahoma" w:cs="Tahoma"/>
                <w:sz w:val="18"/>
                <w:szCs w:val="18"/>
              </w:rPr>
            </w:pPr>
            <w:r>
              <w:rPr>
                <w:rFonts w:ascii="Tahoma" w:hAnsi="Tahoma" w:cs="Tahoma"/>
                <w:sz w:val="18"/>
                <w:szCs w:val="18"/>
              </w:rPr>
              <w:t xml:space="preserve">Οι παραπάνω δείκτες  δείχνουν την δανειακή εξάρτηση του ομίλου και της Εταιρείας. </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jc w:val="both"/>
              <w:rPr>
                <w:rFonts w:ascii="Tahoma" w:hAnsi="Tahoma" w:cs="Tahoma"/>
                <w:sz w:val="18"/>
                <w:szCs w:val="18"/>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3376"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Ίδια κεφάλαια</w:t>
            </w:r>
          </w:p>
        </w:tc>
        <w:tc>
          <w:tcPr>
            <w:tcW w:w="1732"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4.089.266,39</w:t>
            </w:r>
          </w:p>
        </w:tc>
        <w:tc>
          <w:tcPr>
            <w:tcW w:w="984"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143,71%</w:t>
            </w:r>
          </w:p>
        </w:tc>
        <w:tc>
          <w:tcPr>
            <w:tcW w:w="27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p>
        </w:tc>
        <w:tc>
          <w:tcPr>
            <w:tcW w:w="1631"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4.106.555,94</w:t>
            </w:r>
          </w:p>
        </w:tc>
        <w:tc>
          <w:tcPr>
            <w:tcW w:w="1005"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132,64%</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Πάγιο ενεργητικό</w:t>
            </w:r>
          </w:p>
        </w:tc>
        <w:tc>
          <w:tcPr>
            <w:tcW w:w="1732"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2.845.534,12</w:t>
            </w:r>
          </w:p>
        </w:tc>
        <w:tc>
          <w:tcPr>
            <w:tcW w:w="984"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3.096.003,05</w:t>
            </w:r>
          </w:p>
        </w:tc>
        <w:tc>
          <w:tcPr>
            <w:tcW w:w="1005"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600"/>
        </w:trPr>
        <w:tc>
          <w:tcPr>
            <w:tcW w:w="9004" w:type="dxa"/>
            <w:gridSpan w:val="6"/>
            <w:tcBorders>
              <w:top w:val="nil"/>
              <w:left w:val="nil"/>
              <w:bottom w:val="nil"/>
              <w:right w:val="nil"/>
            </w:tcBorders>
            <w:shd w:val="clear" w:color="auto" w:fill="auto"/>
            <w:vAlign w:val="bottom"/>
            <w:hideMark/>
          </w:tcPr>
          <w:p w:rsidR="004A7C69" w:rsidRDefault="004A7C69">
            <w:pPr>
              <w:jc w:val="both"/>
              <w:rPr>
                <w:rFonts w:ascii="Tahoma" w:hAnsi="Tahoma" w:cs="Tahoma"/>
                <w:sz w:val="18"/>
                <w:szCs w:val="18"/>
              </w:rPr>
            </w:pPr>
            <w:r>
              <w:rPr>
                <w:rFonts w:ascii="Tahoma" w:hAnsi="Tahoma" w:cs="Tahoma"/>
                <w:sz w:val="18"/>
                <w:szCs w:val="18"/>
              </w:rPr>
              <w:t>Ο δείκτης αυτός δείχνει το βαθμό χρηματοδοτήσεως των ακινητοποιήσεων του ομίλου και της Εταιρείας από τα Ίδια Κεφάλαια.</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jc w:val="both"/>
              <w:rPr>
                <w:rFonts w:ascii="Tahoma" w:hAnsi="Tahoma" w:cs="Tahoma"/>
                <w:sz w:val="18"/>
                <w:szCs w:val="18"/>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3376"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Κυκλοφορούν ενεργητικό</w:t>
            </w:r>
          </w:p>
        </w:tc>
        <w:tc>
          <w:tcPr>
            <w:tcW w:w="1732"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2.886.473,09</w:t>
            </w:r>
          </w:p>
        </w:tc>
        <w:tc>
          <w:tcPr>
            <w:tcW w:w="984"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342,45%</w:t>
            </w:r>
          </w:p>
        </w:tc>
        <w:tc>
          <w:tcPr>
            <w:tcW w:w="27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p>
        </w:tc>
        <w:tc>
          <w:tcPr>
            <w:tcW w:w="1631"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2.742.691,78</w:t>
            </w:r>
          </w:p>
        </w:tc>
        <w:tc>
          <w:tcPr>
            <w:tcW w:w="1005"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302,33%</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Βραχυπρόθεσμες υποχρεώσεις</w:t>
            </w:r>
          </w:p>
        </w:tc>
        <w:tc>
          <w:tcPr>
            <w:tcW w:w="1732"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842.892,61</w:t>
            </w:r>
          </w:p>
        </w:tc>
        <w:tc>
          <w:tcPr>
            <w:tcW w:w="984"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907.181,85</w:t>
            </w:r>
          </w:p>
        </w:tc>
        <w:tc>
          <w:tcPr>
            <w:tcW w:w="1005"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600"/>
        </w:trPr>
        <w:tc>
          <w:tcPr>
            <w:tcW w:w="9004" w:type="dxa"/>
            <w:gridSpan w:val="6"/>
            <w:tcBorders>
              <w:top w:val="nil"/>
              <w:left w:val="nil"/>
              <w:bottom w:val="nil"/>
              <w:right w:val="nil"/>
            </w:tcBorders>
            <w:shd w:val="clear" w:color="auto" w:fill="auto"/>
            <w:vAlign w:val="bottom"/>
            <w:hideMark/>
          </w:tcPr>
          <w:p w:rsidR="004A7C69" w:rsidRDefault="004A7C69">
            <w:pPr>
              <w:jc w:val="both"/>
              <w:rPr>
                <w:rFonts w:ascii="Tahoma" w:hAnsi="Tahoma" w:cs="Tahoma"/>
                <w:sz w:val="18"/>
                <w:szCs w:val="18"/>
              </w:rPr>
            </w:pPr>
            <w:r>
              <w:rPr>
                <w:rFonts w:ascii="Tahoma" w:hAnsi="Tahoma" w:cs="Tahoma"/>
                <w:sz w:val="18"/>
                <w:szCs w:val="18"/>
              </w:rPr>
              <w:lastRenderedPageBreak/>
              <w:t>Ο δείκτης αυτός  δείχνει την δυνατότητα του ομίλου και της Εταιρείας να καλύψει τις βραχυπρόθεσμες υποχρεώσεις της με στοιχεία του κυκλοφορούντος ενεργητικού.</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jc w:val="both"/>
              <w:rPr>
                <w:rFonts w:ascii="Tahoma" w:hAnsi="Tahoma" w:cs="Tahoma"/>
                <w:sz w:val="18"/>
                <w:szCs w:val="18"/>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3376" w:type="dxa"/>
            <w:tcBorders>
              <w:top w:val="nil"/>
              <w:left w:val="nil"/>
              <w:bottom w:val="single" w:sz="4" w:space="0" w:color="auto"/>
              <w:right w:val="nil"/>
            </w:tcBorders>
            <w:shd w:val="clear" w:color="auto" w:fill="auto"/>
            <w:noWrap/>
            <w:vAlign w:val="bottom"/>
            <w:hideMark/>
          </w:tcPr>
          <w:p w:rsidR="004A7C69" w:rsidRDefault="004A7C69">
            <w:pPr>
              <w:jc w:val="both"/>
              <w:rPr>
                <w:rFonts w:ascii="Tahoma" w:hAnsi="Tahoma" w:cs="Tahoma"/>
                <w:sz w:val="18"/>
                <w:szCs w:val="18"/>
              </w:rPr>
            </w:pPr>
            <w:r>
              <w:rPr>
                <w:rFonts w:ascii="Tahoma" w:hAnsi="Tahoma" w:cs="Tahoma"/>
                <w:sz w:val="18"/>
                <w:szCs w:val="18"/>
              </w:rPr>
              <w:t>Κεφάλαιο κινήσεως</w:t>
            </w:r>
          </w:p>
        </w:tc>
        <w:tc>
          <w:tcPr>
            <w:tcW w:w="1732"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 xml:space="preserve">        2.043.580,48 </w:t>
            </w:r>
          </w:p>
        </w:tc>
        <w:tc>
          <w:tcPr>
            <w:tcW w:w="984"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70,80%</w:t>
            </w:r>
          </w:p>
        </w:tc>
        <w:tc>
          <w:tcPr>
            <w:tcW w:w="27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p>
        </w:tc>
        <w:tc>
          <w:tcPr>
            <w:tcW w:w="1631"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 xml:space="preserve">      1.835.509,93 </w:t>
            </w:r>
          </w:p>
        </w:tc>
        <w:tc>
          <w:tcPr>
            <w:tcW w:w="1005" w:type="dxa"/>
            <w:tcBorders>
              <w:top w:val="nil"/>
              <w:left w:val="nil"/>
              <w:bottom w:val="nil"/>
              <w:right w:val="nil"/>
            </w:tcBorders>
            <w:shd w:val="clear" w:color="auto" w:fill="auto"/>
            <w:noWrap/>
            <w:vAlign w:val="bottom"/>
            <w:hideMark/>
          </w:tcPr>
          <w:p w:rsidR="004A7C69" w:rsidRDefault="004A7C69">
            <w:pPr>
              <w:jc w:val="both"/>
              <w:rPr>
                <w:rFonts w:ascii="Tahoma" w:hAnsi="Tahoma" w:cs="Tahoma"/>
                <w:sz w:val="18"/>
                <w:szCs w:val="18"/>
              </w:rPr>
            </w:pPr>
            <w:r>
              <w:rPr>
                <w:rFonts w:ascii="Tahoma" w:hAnsi="Tahoma" w:cs="Tahoma"/>
                <w:sz w:val="18"/>
                <w:szCs w:val="18"/>
              </w:rPr>
              <w:t>66,92%</w:t>
            </w: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jc w:val="both"/>
              <w:rPr>
                <w:rFonts w:ascii="Tahoma" w:hAnsi="Tahoma" w:cs="Tahoma"/>
                <w:sz w:val="18"/>
                <w:szCs w:val="18"/>
              </w:rPr>
            </w:pPr>
            <w:r>
              <w:rPr>
                <w:rFonts w:ascii="Tahoma" w:hAnsi="Tahoma" w:cs="Tahoma"/>
                <w:sz w:val="18"/>
                <w:szCs w:val="18"/>
              </w:rPr>
              <w:t>Κυκλοφορούν ενεργητικό</w:t>
            </w:r>
          </w:p>
        </w:tc>
        <w:tc>
          <w:tcPr>
            <w:tcW w:w="1732"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2.886.473,09</w:t>
            </w:r>
          </w:p>
        </w:tc>
        <w:tc>
          <w:tcPr>
            <w:tcW w:w="984"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c>
          <w:tcPr>
            <w:tcW w:w="276" w:type="dxa"/>
            <w:tcBorders>
              <w:top w:val="nil"/>
              <w:left w:val="nil"/>
              <w:bottom w:val="nil"/>
              <w:right w:val="nil"/>
            </w:tcBorders>
            <w:shd w:val="clear" w:color="auto" w:fill="auto"/>
            <w:noWrap/>
            <w:vAlign w:val="bottom"/>
            <w:hideMark/>
          </w:tcPr>
          <w:p w:rsidR="004A7C69" w:rsidRDefault="004A7C69">
            <w:pPr>
              <w:jc w:val="both"/>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2.742.691,78</w:t>
            </w:r>
          </w:p>
        </w:tc>
        <w:tc>
          <w:tcPr>
            <w:tcW w:w="1005"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r>
      <w:tr w:rsidR="004A7C69" w:rsidTr="004A7C69">
        <w:trPr>
          <w:trHeight w:val="228"/>
        </w:trPr>
        <w:tc>
          <w:tcPr>
            <w:tcW w:w="3376" w:type="dxa"/>
            <w:tcBorders>
              <w:top w:val="nil"/>
              <w:left w:val="nil"/>
              <w:bottom w:val="nil"/>
              <w:right w:val="nil"/>
            </w:tcBorders>
            <w:shd w:val="clear" w:color="auto" w:fill="auto"/>
            <w:noWrap/>
            <w:vAlign w:val="bottom"/>
            <w:hideMark/>
          </w:tcPr>
          <w:p w:rsidR="004A7C69" w:rsidRDefault="004A7C69">
            <w:pPr>
              <w:jc w:val="both"/>
              <w:rPr>
                <w:sz w:val="20"/>
                <w:szCs w:val="20"/>
              </w:rPr>
            </w:pPr>
          </w:p>
        </w:tc>
        <w:tc>
          <w:tcPr>
            <w:tcW w:w="1732" w:type="dxa"/>
            <w:tcBorders>
              <w:top w:val="nil"/>
              <w:left w:val="nil"/>
              <w:bottom w:val="nil"/>
              <w:right w:val="nil"/>
            </w:tcBorders>
            <w:shd w:val="clear" w:color="auto" w:fill="auto"/>
            <w:noWrap/>
            <w:vAlign w:val="bottom"/>
            <w:hideMark/>
          </w:tcPr>
          <w:p w:rsidR="004A7C69" w:rsidRDefault="004A7C69">
            <w:pPr>
              <w:rPr>
                <w:sz w:val="20"/>
                <w:szCs w:val="20"/>
              </w:rPr>
            </w:pPr>
          </w:p>
        </w:tc>
        <w:tc>
          <w:tcPr>
            <w:tcW w:w="984"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2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1" w:type="dxa"/>
            <w:tcBorders>
              <w:top w:val="nil"/>
              <w:left w:val="nil"/>
              <w:bottom w:val="nil"/>
              <w:right w:val="nil"/>
            </w:tcBorders>
            <w:shd w:val="clear" w:color="auto" w:fill="auto"/>
            <w:noWrap/>
            <w:vAlign w:val="bottom"/>
            <w:hideMark/>
          </w:tcPr>
          <w:p w:rsidR="004A7C69" w:rsidRDefault="004A7C69">
            <w:pPr>
              <w:rPr>
                <w:sz w:val="20"/>
                <w:szCs w:val="20"/>
              </w:rPr>
            </w:pPr>
          </w:p>
        </w:tc>
        <w:tc>
          <w:tcPr>
            <w:tcW w:w="1005"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930"/>
        </w:trPr>
        <w:tc>
          <w:tcPr>
            <w:tcW w:w="9004" w:type="dxa"/>
            <w:gridSpan w:val="6"/>
            <w:tcBorders>
              <w:top w:val="nil"/>
              <w:left w:val="nil"/>
              <w:bottom w:val="nil"/>
              <w:right w:val="nil"/>
            </w:tcBorders>
            <w:shd w:val="clear" w:color="auto" w:fill="auto"/>
            <w:vAlign w:val="bottom"/>
            <w:hideMark/>
          </w:tcPr>
          <w:p w:rsidR="004A7C69" w:rsidRDefault="004A7C69">
            <w:pPr>
              <w:jc w:val="both"/>
              <w:rPr>
                <w:rFonts w:ascii="Tahoma" w:hAnsi="Tahoma" w:cs="Tahoma"/>
                <w:sz w:val="18"/>
                <w:szCs w:val="18"/>
              </w:rPr>
            </w:pPr>
            <w:r>
              <w:rPr>
                <w:rFonts w:ascii="Tahoma" w:hAnsi="Tahoma" w:cs="Tahoma"/>
                <w:sz w:val="18"/>
                <w:szCs w:val="18"/>
              </w:rPr>
              <w:t>Ο αριθμοδείκτης αυτός απεικονίζει σε ποσοστό το τμήμα του Κυκλοφορούντος ενεργητικού το οποίο χρηματοδοτείται από το πλεόνασμα των διαρκών κεφαλαίων (Ιδίων Κεφαλαίων και Μακροπρόθεσμων υποχρεώσεων).</w:t>
            </w:r>
          </w:p>
        </w:tc>
      </w:tr>
    </w:tbl>
    <w:p w:rsidR="002C407F" w:rsidRPr="00485A4C" w:rsidRDefault="002C407F" w:rsidP="002C407F">
      <w:pPr>
        <w:ind w:left="-851"/>
        <w:jc w:val="both"/>
        <w:rPr>
          <w:rFonts w:ascii="Tahoma" w:hAnsi="Tahoma" w:cs="Tahoma"/>
          <w:b/>
          <w:bCs/>
          <w:iCs/>
          <w:sz w:val="22"/>
          <w:szCs w:val="22"/>
          <w:highlight w:val="red"/>
          <w:lang w:val="en-US"/>
        </w:rPr>
      </w:pPr>
    </w:p>
    <w:p w:rsidR="0035656E" w:rsidRPr="00485A4C" w:rsidRDefault="0035656E" w:rsidP="0042352F">
      <w:pPr>
        <w:jc w:val="both"/>
        <w:rPr>
          <w:rFonts w:ascii="Tahoma" w:hAnsi="Tahoma" w:cs="Tahoma"/>
          <w:b/>
          <w:bCs/>
          <w:iCs/>
          <w:sz w:val="22"/>
          <w:szCs w:val="22"/>
          <w:highlight w:val="red"/>
          <w:lang w:val="en-US"/>
        </w:rPr>
      </w:pPr>
    </w:p>
    <w:p w:rsidR="0042352F" w:rsidRPr="00485A4C" w:rsidRDefault="0042352F" w:rsidP="0042352F">
      <w:pPr>
        <w:jc w:val="both"/>
        <w:rPr>
          <w:rFonts w:ascii="Tahoma" w:hAnsi="Tahoma" w:cs="Tahoma"/>
          <w:b/>
          <w:bCs/>
          <w:iCs/>
          <w:sz w:val="22"/>
          <w:szCs w:val="22"/>
        </w:rPr>
      </w:pPr>
      <w:r w:rsidRPr="00485A4C">
        <w:rPr>
          <w:rFonts w:ascii="Tahoma" w:hAnsi="Tahoma" w:cs="Tahoma"/>
          <w:b/>
          <w:bCs/>
          <w:iCs/>
          <w:sz w:val="22"/>
          <w:szCs w:val="22"/>
        </w:rPr>
        <w:t>β)  Αριθμοδείκτες αποδόσεως και αποδοτικότητας</w:t>
      </w:r>
    </w:p>
    <w:p w:rsidR="002C407F" w:rsidRDefault="002C407F" w:rsidP="002C407F">
      <w:pPr>
        <w:ind w:left="-851"/>
        <w:jc w:val="both"/>
        <w:rPr>
          <w:rFonts w:ascii="Tahoma" w:hAnsi="Tahoma" w:cs="Tahoma"/>
          <w:b/>
          <w:bCs/>
          <w:iCs/>
          <w:sz w:val="22"/>
          <w:szCs w:val="22"/>
          <w:lang w:val="en-US"/>
        </w:rPr>
      </w:pPr>
    </w:p>
    <w:p w:rsidR="004A7C69" w:rsidRDefault="004A7C69" w:rsidP="002C407F">
      <w:pPr>
        <w:ind w:left="-851"/>
        <w:jc w:val="both"/>
        <w:rPr>
          <w:rFonts w:ascii="Tahoma" w:hAnsi="Tahoma" w:cs="Tahoma"/>
          <w:b/>
          <w:bCs/>
          <w:iCs/>
          <w:sz w:val="22"/>
          <w:szCs w:val="22"/>
          <w:lang w:val="en-US"/>
        </w:rPr>
      </w:pPr>
    </w:p>
    <w:tbl>
      <w:tblPr>
        <w:tblW w:w="9095" w:type="dxa"/>
        <w:tblLook w:val="04A0" w:firstRow="1" w:lastRow="0" w:firstColumn="1" w:lastColumn="0" w:noHBand="0" w:noVBand="1"/>
      </w:tblPr>
      <w:tblGrid>
        <w:gridCol w:w="3483"/>
        <w:gridCol w:w="1917"/>
        <w:gridCol w:w="840"/>
        <w:gridCol w:w="222"/>
        <w:gridCol w:w="1998"/>
        <w:gridCol w:w="889"/>
      </w:tblGrid>
      <w:tr w:rsidR="004A7C69" w:rsidTr="004A7C69">
        <w:trPr>
          <w:trHeight w:val="315"/>
        </w:trPr>
        <w:tc>
          <w:tcPr>
            <w:tcW w:w="3483" w:type="dxa"/>
            <w:tcBorders>
              <w:top w:val="nil"/>
              <w:left w:val="nil"/>
              <w:bottom w:val="nil"/>
              <w:right w:val="nil"/>
            </w:tcBorders>
            <w:shd w:val="clear" w:color="000000" w:fill="E6E6E6"/>
            <w:noWrap/>
            <w:vAlign w:val="bottom"/>
            <w:hideMark/>
          </w:tcPr>
          <w:p w:rsidR="004A7C69" w:rsidRDefault="004A7C69">
            <w:pPr>
              <w:rPr>
                <w:rFonts w:ascii="Tahoma" w:hAnsi="Tahoma" w:cs="Tahoma"/>
                <w:b/>
                <w:bCs/>
                <w:sz w:val="18"/>
                <w:szCs w:val="18"/>
              </w:rPr>
            </w:pPr>
            <w:r>
              <w:rPr>
                <w:rFonts w:ascii="Tahoma" w:hAnsi="Tahoma" w:cs="Tahoma"/>
                <w:b/>
                <w:bCs/>
                <w:sz w:val="18"/>
                <w:szCs w:val="18"/>
              </w:rPr>
              <w:t> </w:t>
            </w:r>
          </w:p>
        </w:tc>
        <w:tc>
          <w:tcPr>
            <w:tcW w:w="2716" w:type="dxa"/>
            <w:gridSpan w:val="2"/>
            <w:tcBorders>
              <w:top w:val="nil"/>
              <w:left w:val="nil"/>
              <w:bottom w:val="nil"/>
              <w:right w:val="nil"/>
            </w:tcBorders>
            <w:shd w:val="clear" w:color="000000" w:fill="E6E6E6"/>
            <w:noWrap/>
            <w:vAlign w:val="bottom"/>
            <w:hideMark/>
          </w:tcPr>
          <w:p w:rsidR="004A7C69" w:rsidRDefault="004A7C69">
            <w:pPr>
              <w:jc w:val="center"/>
              <w:rPr>
                <w:rFonts w:ascii="Tahoma" w:hAnsi="Tahoma" w:cs="Tahoma"/>
                <w:b/>
                <w:bCs/>
                <w:sz w:val="18"/>
                <w:szCs w:val="18"/>
              </w:rPr>
            </w:pPr>
            <w:r>
              <w:rPr>
                <w:rFonts w:ascii="Tahoma" w:hAnsi="Tahoma" w:cs="Tahoma"/>
                <w:b/>
                <w:bCs/>
                <w:sz w:val="18"/>
                <w:szCs w:val="18"/>
              </w:rPr>
              <w:t>31.12.2018</w:t>
            </w:r>
          </w:p>
        </w:tc>
        <w:tc>
          <w:tcPr>
            <w:tcW w:w="2896" w:type="dxa"/>
            <w:gridSpan w:val="3"/>
            <w:tcBorders>
              <w:top w:val="nil"/>
              <w:left w:val="nil"/>
              <w:bottom w:val="nil"/>
              <w:right w:val="nil"/>
            </w:tcBorders>
            <w:shd w:val="clear" w:color="000000" w:fill="E6E6E6"/>
            <w:noWrap/>
            <w:vAlign w:val="bottom"/>
            <w:hideMark/>
          </w:tcPr>
          <w:p w:rsidR="004A7C69" w:rsidRDefault="004A7C69">
            <w:pPr>
              <w:jc w:val="center"/>
              <w:rPr>
                <w:rFonts w:ascii="Tahoma" w:hAnsi="Tahoma" w:cs="Tahoma"/>
                <w:b/>
                <w:bCs/>
                <w:sz w:val="18"/>
                <w:szCs w:val="18"/>
              </w:rPr>
            </w:pPr>
            <w:r>
              <w:rPr>
                <w:rFonts w:ascii="Tahoma" w:hAnsi="Tahoma" w:cs="Tahoma"/>
                <w:b/>
                <w:bCs/>
                <w:sz w:val="18"/>
                <w:szCs w:val="18"/>
              </w:rPr>
              <w:t>31.12.2017</w:t>
            </w:r>
          </w:p>
        </w:tc>
      </w:tr>
      <w:tr w:rsidR="004A7C69" w:rsidTr="004A7C69">
        <w:trPr>
          <w:trHeight w:val="228"/>
        </w:trPr>
        <w:tc>
          <w:tcPr>
            <w:tcW w:w="3483"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Καθαρά αποτελέσματα εκμεταλλεύσεως</w:t>
            </w:r>
          </w:p>
        </w:tc>
        <w:tc>
          <w:tcPr>
            <w:tcW w:w="1917"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 xml:space="preserve">          519.383,61 </w:t>
            </w:r>
          </w:p>
        </w:tc>
        <w:tc>
          <w:tcPr>
            <w:tcW w:w="799"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16,40%</w:t>
            </w:r>
          </w:p>
        </w:tc>
        <w:tc>
          <w:tcPr>
            <w:tcW w:w="9"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p>
        </w:tc>
        <w:tc>
          <w:tcPr>
            <w:tcW w:w="1998"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649.202,43</w:t>
            </w:r>
          </w:p>
        </w:tc>
        <w:tc>
          <w:tcPr>
            <w:tcW w:w="889"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18,90%</w:t>
            </w:r>
          </w:p>
        </w:tc>
      </w:tr>
      <w:tr w:rsidR="004A7C69" w:rsidTr="004A7C69">
        <w:trPr>
          <w:trHeight w:val="228"/>
        </w:trPr>
        <w:tc>
          <w:tcPr>
            <w:tcW w:w="3483" w:type="dxa"/>
            <w:tcBorders>
              <w:top w:val="nil"/>
              <w:left w:val="nil"/>
              <w:bottom w:val="nil"/>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Πωλήσεις αποθεμάτων &amp; υπηρεσιών</w:t>
            </w:r>
          </w:p>
        </w:tc>
        <w:tc>
          <w:tcPr>
            <w:tcW w:w="1917"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3.166.028,45</w:t>
            </w:r>
          </w:p>
        </w:tc>
        <w:tc>
          <w:tcPr>
            <w:tcW w:w="799"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c>
          <w:tcPr>
            <w:tcW w:w="9" w:type="dxa"/>
            <w:tcBorders>
              <w:top w:val="nil"/>
              <w:left w:val="nil"/>
              <w:bottom w:val="nil"/>
              <w:right w:val="nil"/>
            </w:tcBorders>
            <w:shd w:val="clear" w:color="auto" w:fill="auto"/>
            <w:noWrap/>
            <w:vAlign w:val="bottom"/>
            <w:hideMark/>
          </w:tcPr>
          <w:p w:rsidR="004A7C69" w:rsidRDefault="004A7C69">
            <w:pPr>
              <w:rPr>
                <w:sz w:val="20"/>
                <w:szCs w:val="20"/>
              </w:rPr>
            </w:pPr>
          </w:p>
        </w:tc>
        <w:tc>
          <w:tcPr>
            <w:tcW w:w="1998"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3.435.089,10</w:t>
            </w:r>
          </w:p>
        </w:tc>
        <w:tc>
          <w:tcPr>
            <w:tcW w:w="889"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r>
      <w:tr w:rsidR="004A7C69" w:rsidTr="004A7C69">
        <w:trPr>
          <w:trHeight w:val="228"/>
        </w:trPr>
        <w:tc>
          <w:tcPr>
            <w:tcW w:w="3483" w:type="dxa"/>
            <w:tcBorders>
              <w:top w:val="nil"/>
              <w:left w:val="nil"/>
              <w:bottom w:val="nil"/>
              <w:right w:val="nil"/>
            </w:tcBorders>
            <w:shd w:val="clear" w:color="auto" w:fill="auto"/>
            <w:noWrap/>
            <w:vAlign w:val="bottom"/>
            <w:hideMark/>
          </w:tcPr>
          <w:p w:rsidR="004A7C69" w:rsidRDefault="004A7C69">
            <w:pPr>
              <w:jc w:val="right"/>
              <w:rPr>
                <w:sz w:val="20"/>
                <w:szCs w:val="20"/>
              </w:rPr>
            </w:pPr>
          </w:p>
        </w:tc>
        <w:tc>
          <w:tcPr>
            <w:tcW w:w="1917" w:type="dxa"/>
            <w:tcBorders>
              <w:top w:val="nil"/>
              <w:left w:val="nil"/>
              <w:bottom w:val="nil"/>
              <w:right w:val="nil"/>
            </w:tcBorders>
            <w:shd w:val="clear" w:color="auto" w:fill="auto"/>
            <w:noWrap/>
            <w:vAlign w:val="bottom"/>
            <w:hideMark/>
          </w:tcPr>
          <w:p w:rsidR="004A7C69" w:rsidRDefault="004A7C69">
            <w:pPr>
              <w:rPr>
                <w:sz w:val="20"/>
                <w:szCs w:val="20"/>
              </w:rPr>
            </w:pPr>
          </w:p>
        </w:tc>
        <w:tc>
          <w:tcPr>
            <w:tcW w:w="799"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9" w:type="dxa"/>
            <w:tcBorders>
              <w:top w:val="nil"/>
              <w:left w:val="nil"/>
              <w:bottom w:val="nil"/>
              <w:right w:val="nil"/>
            </w:tcBorders>
            <w:shd w:val="clear" w:color="auto" w:fill="auto"/>
            <w:noWrap/>
            <w:vAlign w:val="bottom"/>
            <w:hideMark/>
          </w:tcPr>
          <w:p w:rsidR="004A7C69" w:rsidRDefault="004A7C69">
            <w:pPr>
              <w:rPr>
                <w:sz w:val="20"/>
                <w:szCs w:val="20"/>
              </w:rPr>
            </w:pPr>
          </w:p>
        </w:tc>
        <w:tc>
          <w:tcPr>
            <w:tcW w:w="1998" w:type="dxa"/>
            <w:tcBorders>
              <w:top w:val="nil"/>
              <w:left w:val="nil"/>
              <w:bottom w:val="nil"/>
              <w:right w:val="nil"/>
            </w:tcBorders>
            <w:shd w:val="clear" w:color="auto" w:fill="auto"/>
            <w:noWrap/>
            <w:vAlign w:val="bottom"/>
            <w:hideMark/>
          </w:tcPr>
          <w:p w:rsidR="004A7C69" w:rsidRDefault="004A7C69">
            <w:pPr>
              <w:rPr>
                <w:sz w:val="20"/>
                <w:szCs w:val="20"/>
              </w:rPr>
            </w:pPr>
          </w:p>
        </w:tc>
        <w:tc>
          <w:tcPr>
            <w:tcW w:w="889"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645"/>
        </w:trPr>
        <w:tc>
          <w:tcPr>
            <w:tcW w:w="9095" w:type="dxa"/>
            <w:gridSpan w:val="6"/>
            <w:tcBorders>
              <w:top w:val="nil"/>
              <w:left w:val="nil"/>
              <w:bottom w:val="nil"/>
              <w:right w:val="nil"/>
            </w:tcBorders>
            <w:shd w:val="clear" w:color="auto" w:fill="auto"/>
            <w:vAlign w:val="center"/>
            <w:hideMark/>
          </w:tcPr>
          <w:p w:rsidR="004A7C69" w:rsidRDefault="004A7C69">
            <w:pPr>
              <w:jc w:val="both"/>
              <w:rPr>
                <w:rFonts w:ascii="Tahoma" w:hAnsi="Tahoma" w:cs="Tahoma"/>
                <w:sz w:val="18"/>
                <w:szCs w:val="18"/>
              </w:rPr>
            </w:pPr>
            <w:r>
              <w:rPr>
                <w:rFonts w:ascii="Tahoma" w:hAnsi="Tahoma" w:cs="Tahoma"/>
                <w:sz w:val="18"/>
                <w:szCs w:val="18"/>
              </w:rPr>
              <w:t>Ο αριθμοδείκτης αυτός απεικονίζει την απόδοση της εταιρείας χωρίς το συνυπολογισμό των εκτάκτων και ανόργανων αποτελεσμάτων.</w:t>
            </w:r>
          </w:p>
        </w:tc>
      </w:tr>
      <w:tr w:rsidR="004A7C69" w:rsidTr="004A7C69">
        <w:trPr>
          <w:trHeight w:val="228"/>
        </w:trPr>
        <w:tc>
          <w:tcPr>
            <w:tcW w:w="3483" w:type="dxa"/>
            <w:tcBorders>
              <w:top w:val="nil"/>
              <w:left w:val="nil"/>
              <w:bottom w:val="nil"/>
              <w:right w:val="nil"/>
            </w:tcBorders>
            <w:shd w:val="clear" w:color="auto" w:fill="auto"/>
            <w:noWrap/>
            <w:vAlign w:val="bottom"/>
            <w:hideMark/>
          </w:tcPr>
          <w:p w:rsidR="004A7C69" w:rsidRDefault="004A7C69">
            <w:pPr>
              <w:jc w:val="both"/>
              <w:rPr>
                <w:rFonts w:ascii="Tahoma" w:hAnsi="Tahoma" w:cs="Tahoma"/>
                <w:sz w:val="18"/>
                <w:szCs w:val="18"/>
              </w:rPr>
            </w:pPr>
          </w:p>
        </w:tc>
        <w:tc>
          <w:tcPr>
            <w:tcW w:w="1917" w:type="dxa"/>
            <w:tcBorders>
              <w:top w:val="nil"/>
              <w:left w:val="nil"/>
              <w:bottom w:val="nil"/>
              <w:right w:val="nil"/>
            </w:tcBorders>
            <w:shd w:val="clear" w:color="auto" w:fill="auto"/>
            <w:noWrap/>
            <w:vAlign w:val="bottom"/>
            <w:hideMark/>
          </w:tcPr>
          <w:p w:rsidR="004A7C69" w:rsidRDefault="004A7C69">
            <w:pPr>
              <w:rPr>
                <w:sz w:val="20"/>
                <w:szCs w:val="20"/>
              </w:rPr>
            </w:pPr>
          </w:p>
        </w:tc>
        <w:tc>
          <w:tcPr>
            <w:tcW w:w="799"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9" w:type="dxa"/>
            <w:tcBorders>
              <w:top w:val="nil"/>
              <w:left w:val="nil"/>
              <w:bottom w:val="nil"/>
              <w:right w:val="nil"/>
            </w:tcBorders>
            <w:shd w:val="clear" w:color="auto" w:fill="auto"/>
            <w:noWrap/>
            <w:vAlign w:val="bottom"/>
            <w:hideMark/>
          </w:tcPr>
          <w:p w:rsidR="004A7C69" w:rsidRDefault="004A7C69">
            <w:pPr>
              <w:rPr>
                <w:sz w:val="20"/>
                <w:szCs w:val="20"/>
              </w:rPr>
            </w:pPr>
          </w:p>
        </w:tc>
        <w:tc>
          <w:tcPr>
            <w:tcW w:w="1998" w:type="dxa"/>
            <w:tcBorders>
              <w:top w:val="nil"/>
              <w:left w:val="nil"/>
              <w:bottom w:val="nil"/>
              <w:right w:val="nil"/>
            </w:tcBorders>
            <w:shd w:val="clear" w:color="auto" w:fill="auto"/>
            <w:noWrap/>
            <w:vAlign w:val="bottom"/>
            <w:hideMark/>
          </w:tcPr>
          <w:p w:rsidR="004A7C69" w:rsidRDefault="004A7C69">
            <w:pPr>
              <w:rPr>
                <w:sz w:val="20"/>
                <w:szCs w:val="20"/>
              </w:rPr>
            </w:pPr>
          </w:p>
        </w:tc>
        <w:tc>
          <w:tcPr>
            <w:tcW w:w="889"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3483"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Καθαρά αποτελέσματα χρήσεως προ φόρων</w:t>
            </w:r>
          </w:p>
        </w:tc>
        <w:tc>
          <w:tcPr>
            <w:tcW w:w="1917"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 xml:space="preserve">          518.579,19 </w:t>
            </w:r>
          </w:p>
        </w:tc>
        <w:tc>
          <w:tcPr>
            <w:tcW w:w="799"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16,06%</w:t>
            </w:r>
          </w:p>
        </w:tc>
        <w:tc>
          <w:tcPr>
            <w:tcW w:w="9"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p>
        </w:tc>
        <w:tc>
          <w:tcPr>
            <w:tcW w:w="1998"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648.242,95</w:t>
            </w:r>
          </w:p>
        </w:tc>
        <w:tc>
          <w:tcPr>
            <w:tcW w:w="889"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18,45%</w:t>
            </w:r>
          </w:p>
        </w:tc>
      </w:tr>
      <w:tr w:rsidR="004A7C69" w:rsidTr="004A7C69">
        <w:trPr>
          <w:trHeight w:val="228"/>
        </w:trPr>
        <w:tc>
          <w:tcPr>
            <w:tcW w:w="3483" w:type="dxa"/>
            <w:tcBorders>
              <w:top w:val="nil"/>
              <w:left w:val="nil"/>
              <w:bottom w:val="nil"/>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Σύνολο εσόδων</w:t>
            </w:r>
          </w:p>
        </w:tc>
        <w:tc>
          <w:tcPr>
            <w:tcW w:w="1917"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3.229.183,93</w:t>
            </w:r>
          </w:p>
        </w:tc>
        <w:tc>
          <w:tcPr>
            <w:tcW w:w="799"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c>
          <w:tcPr>
            <w:tcW w:w="9" w:type="dxa"/>
            <w:tcBorders>
              <w:top w:val="nil"/>
              <w:left w:val="nil"/>
              <w:bottom w:val="nil"/>
              <w:right w:val="nil"/>
            </w:tcBorders>
            <w:shd w:val="clear" w:color="auto" w:fill="auto"/>
            <w:noWrap/>
            <w:vAlign w:val="bottom"/>
            <w:hideMark/>
          </w:tcPr>
          <w:p w:rsidR="004A7C69" w:rsidRDefault="004A7C69">
            <w:pPr>
              <w:rPr>
                <w:sz w:val="20"/>
                <w:szCs w:val="20"/>
              </w:rPr>
            </w:pPr>
          </w:p>
        </w:tc>
        <w:tc>
          <w:tcPr>
            <w:tcW w:w="1998"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3.513.485,75</w:t>
            </w:r>
          </w:p>
        </w:tc>
        <w:tc>
          <w:tcPr>
            <w:tcW w:w="889"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r>
      <w:tr w:rsidR="004A7C69" w:rsidTr="004A7C69">
        <w:trPr>
          <w:trHeight w:val="228"/>
        </w:trPr>
        <w:tc>
          <w:tcPr>
            <w:tcW w:w="3483" w:type="dxa"/>
            <w:tcBorders>
              <w:top w:val="nil"/>
              <w:left w:val="nil"/>
              <w:bottom w:val="nil"/>
              <w:right w:val="nil"/>
            </w:tcBorders>
            <w:shd w:val="clear" w:color="auto" w:fill="auto"/>
            <w:noWrap/>
            <w:vAlign w:val="bottom"/>
            <w:hideMark/>
          </w:tcPr>
          <w:p w:rsidR="004A7C69" w:rsidRDefault="004A7C69">
            <w:pPr>
              <w:jc w:val="right"/>
              <w:rPr>
                <w:sz w:val="20"/>
                <w:szCs w:val="20"/>
              </w:rPr>
            </w:pPr>
          </w:p>
        </w:tc>
        <w:tc>
          <w:tcPr>
            <w:tcW w:w="1917" w:type="dxa"/>
            <w:tcBorders>
              <w:top w:val="nil"/>
              <w:left w:val="nil"/>
              <w:bottom w:val="nil"/>
              <w:right w:val="nil"/>
            </w:tcBorders>
            <w:shd w:val="clear" w:color="auto" w:fill="auto"/>
            <w:noWrap/>
            <w:vAlign w:val="bottom"/>
            <w:hideMark/>
          </w:tcPr>
          <w:p w:rsidR="004A7C69" w:rsidRDefault="004A7C69">
            <w:pPr>
              <w:rPr>
                <w:sz w:val="20"/>
                <w:szCs w:val="20"/>
              </w:rPr>
            </w:pPr>
          </w:p>
        </w:tc>
        <w:tc>
          <w:tcPr>
            <w:tcW w:w="799"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9" w:type="dxa"/>
            <w:tcBorders>
              <w:top w:val="nil"/>
              <w:left w:val="nil"/>
              <w:bottom w:val="nil"/>
              <w:right w:val="nil"/>
            </w:tcBorders>
            <w:shd w:val="clear" w:color="auto" w:fill="auto"/>
            <w:noWrap/>
            <w:vAlign w:val="bottom"/>
            <w:hideMark/>
          </w:tcPr>
          <w:p w:rsidR="004A7C69" w:rsidRDefault="004A7C69">
            <w:pPr>
              <w:rPr>
                <w:sz w:val="20"/>
                <w:szCs w:val="20"/>
              </w:rPr>
            </w:pPr>
          </w:p>
        </w:tc>
        <w:tc>
          <w:tcPr>
            <w:tcW w:w="1998" w:type="dxa"/>
            <w:tcBorders>
              <w:top w:val="nil"/>
              <w:left w:val="nil"/>
              <w:bottom w:val="nil"/>
              <w:right w:val="nil"/>
            </w:tcBorders>
            <w:shd w:val="clear" w:color="auto" w:fill="auto"/>
            <w:noWrap/>
            <w:vAlign w:val="bottom"/>
            <w:hideMark/>
          </w:tcPr>
          <w:p w:rsidR="004A7C69" w:rsidRDefault="004A7C69">
            <w:pPr>
              <w:rPr>
                <w:sz w:val="20"/>
                <w:szCs w:val="20"/>
              </w:rPr>
            </w:pPr>
          </w:p>
        </w:tc>
        <w:tc>
          <w:tcPr>
            <w:tcW w:w="889"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9095" w:type="dxa"/>
            <w:gridSpan w:val="6"/>
            <w:tcBorders>
              <w:top w:val="nil"/>
              <w:left w:val="nil"/>
              <w:bottom w:val="nil"/>
              <w:right w:val="nil"/>
            </w:tcBorders>
            <w:shd w:val="clear" w:color="auto" w:fill="auto"/>
            <w:vAlign w:val="center"/>
            <w:hideMark/>
          </w:tcPr>
          <w:p w:rsidR="004A7C69" w:rsidRDefault="004A7C69">
            <w:pPr>
              <w:jc w:val="both"/>
              <w:rPr>
                <w:rFonts w:ascii="Tahoma" w:hAnsi="Tahoma" w:cs="Tahoma"/>
                <w:sz w:val="18"/>
                <w:szCs w:val="18"/>
              </w:rPr>
            </w:pPr>
            <w:r>
              <w:rPr>
                <w:rFonts w:ascii="Tahoma" w:hAnsi="Tahoma" w:cs="Tahoma"/>
                <w:sz w:val="18"/>
                <w:szCs w:val="18"/>
              </w:rPr>
              <w:t>Ο αριθμοδείκτης αυτός απεικονίζει την συνολική απόδοση της εταιρείας σε σύγκριση με τα συνολικά της έσοδα</w:t>
            </w:r>
          </w:p>
        </w:tc>
      </w:tr>
      <w:tr w:rsidR="004A7C69" w:rsidTr="004A7C69">
        <w:trPr>
          <w:trHeight w:val="228"/>
        </w:trPr>
        <w:tc>
          <w:tcPr>
            <w:tcW w:w="3483" w:type="dxa"/>
            <w:tcBorders>
              <w:top w:val="nil"/>
              <w:left w:val="nil"/>
              <w:bottom w:val="nil"/>
              <w:right w:val="nil"/>
            </w:tcBorders>
            <w:shd w:val="clear" w:color="auto" w:fill="auto"/>
            <w:noWrap/>
            <w:vAlign w:val="bottom"/>
            <w:hideMark/>
          </w:tcPr>
          <w:p w:rsidR="004A7C69" w:rsidRDefault="004A7C69">
            <w:pPr>
              <w:jc w:val="both"/>
              <w:rPr>
                <w:rFonts w:ascii="Tahoma" w:hAnsi="Tahoma" w:cs="Tahoma"/>
                <w:sz w:val="18"/>
                <w:szCs w:val="18"/>
              </w:rPr>
            </w:pPr>
          </w:p>
        </w:tc>
        <w:tc>
          <w:tcPr>
            <w:tcW w:w="1917" w:type="dxa"/>
            <w:tcBorders>
              <w:top w:val="nil"/>
              <w:left w:val="nil"/>
              <w:bottom w:val="nil"/>
              <w:right w:val="nil"/>
            </w:tcBorders>
            <w:shd w:val="clear" w:color="auto" w:fill="auto"/>
            <w:noWrap/>
            <w:vAlign w:val="bottom"/>
            <w:hideMark/>
          </w:tcPr>
          <w:p w:rsidR="004A7C69" w:rsidRDefault="004A7C69">
            <w:pPr>
              <w:rPr>
                <w:sz w:val="20"/>
                <w:szCs w:val="20"/>
              </w:rPr>
            </w:pPr>
          </w:p>
        </w:tc>
        <w:tc>
          <w:tcPr>
            <w:tcW w:w="799"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9" w:type="dxa"/>
            <w:tcBorders>
              <w:top w:val="nil"/>
              <w:left w:val="nil"/>
              <w:bottom w:val="nil"/>
              <w:right w:val="nil"/>
            </w:tcBorders>
            <w:shd w:val="clear" w:color="auto" w:fill="auto"/>
            <w:noWrap/>
            <w:vAlign w:val="bottom"/>
            <w:hideMark/>
          </w:tcPr>
          <w:p w:rsidR="004A7C69" w:rsidRDefault="004A7C69">
            <w:pPr>
              <w:rPr>
                <w:sz w:val="20"/>
                <w:szCs w:val="20"/>
              </w:rPr>
            </w:pPr>
          </w:p>
        </w:tc>
        <w:tc>
          <w:tcPr>
            <w:tcW w:w="1998" w:type="dxa"/>
            <w:tcBorders>
              <w:top w:val="nil"/>
              <w:left w:val="nil"/>
              <w:bottom w:val="nil"/>
              <w:right w:val="nil"/>
            </w:tcBorders>
            <w:shd w:val="clear" w:color="auto" w:fill="auto"/>
            <w:noWrap/>
            <w:vAlign w:val="bottom"/>
            <w:hideMark/>
          </w:tcPr>
          <w:p w:rsidR="004A7C69" w:rsidRDefault="004A7C69">
            <w:pPr>
              <w:rPr>
                <w:sz w:val="20"/>
                <w:szCs w:val="20"/>
              </w:rPr>
            </w:pPr>
          </w:p>
        </w:tc>
        <w:tc>
          <w:tcPr>
            <w:tcW w:w="889"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3483"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Καθαρά αποτελέσματα χρήσεως προ φόρων</w:t>
            </w:r>
          </w:p>
        </w:tc>
        <w:tc>
          <w:tcPr>
            <w:tcW w:w="1917"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 xml:space="preserve">          518.579,19 </w:t>
            </w:r>
          </w:p>
        </w:tc>
        <w:tc>
          <w:tcPr>
            <w:tcW w:w="799"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12,68%</w:t>
            </w:r>
          </w:p>
        </w:tc>
        <w:tc>
          <w:tcPr>
            <w:tcW w:w="9"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p>
        </w:tc>
        <w:tc>
          <w:tcPr>
            <w:tcW w:w="1998"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 xml:space="preserve">         648.242,95 </w:t>
            </w:r>
          </w:p>
        </w:tc>
        <w:tc>
          <w:tcPr>
            <w:tcW w:w="889"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15,79%</w:t>
            </w:r>
          </w:p>
        </w:tc>
      </w:tr>
      <w:tr w:rsidR="004A7C69" w:rsidTr="004A7C69">
        <w:trPr>
          <w:trHeight w:val="228"/>
        </w:trPr>
        <w:tc>
          <w:tcPr>
            <w:tcW w:w="3483" w:type="dxa"/>
            <w:tcBorders>
              <w:top w:val="nil"/>
              <w:left w:val="nil"/>
              <w:bottom w:val="nil"/>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Ίδια κεφάλαια</w:t>
            </w:r>
          </w:p>
        </w:tc>
        <w:tc>
          <w:tcPr>
            <w:tcW w:w="1917"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4.089.266,39</w:t>
            </w:r>
          </w:p>
        </w:tc>
        <w:tc>
          <w:tcPr>
            <w:tcW w:w="799"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c>
          <w:tcPr>
            <w:tcW w:w="9" w:type="dxa"/>
            <w:tcBorders>
              <w:top w:val="nil"/>
              <w:left w:val="nil"/>
              <w:bottom w:val="nil"/>
              <w:right w:val="nil"/>
            </w:tcBorders>
            <w:shd w:val="clear" w:color="auto" w:fill="auto"/>
            <w:noWrap/>
            <w:vAlign w:val="bottom"/>
            <w:hideMark/>
          </w:tcPr>
          <w:p w:rsidR="004A7C69" w:rsidRDefault="004A7C69">
            <w:pPr>
              <w:rPr>
                <w:sz w:val="20"/>
                <w:szCs w:val="20"/>
              </w:rPr>
            </w:pPr>
          </w:p>
        </w:tc>
        <w:tc>
          <w:tcPr>
            <w:tcW w:w="1998"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4.106.555,94</w:t>
            </w:r>
          </w:p>
        </w:tc>
        <w:tc>
          <w:tcPr>
            <w:tcW w:w="889"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r>
      <w:tr w:rsidR="004A7C69" w:rsidTr="004A7C69">
        <w:trPr>
          <w:trHeight w:val="228"/>
        </w:trPr>
        <w:tc>
          <w:tcPr>
            <w:tcW w:w="3483" w:type="dxa"/>
            <w:tcBorders>
              <w:top w:val="nil"/>
              <w:left w:val="nil"/>
              <w:bottom w:val="nil"/>
              <w:right w:val="nil"/>
            </w:tcBorders>
            <w:shd w:val="clear" w:color="auto" w:fill="auto"/>
            <w:noWrap/>
            <w:vAlign w:val="bottom"/>
            <w:hideMark/>
          </w:tcPr>
          <w:p w:rsidR="004A7C69" w:rsidRDefault="004A7C69">
            <w:pPr>
              <w:jc w:val="right"/>
              <w:rPr>
                <w:sz w:val="20"/>
                <w:szCs w:val="20"/>
              </w:rPr>
            </w:pPr>
          </w:p>
        </w:tc>
        <w:tc>
          <w:tcPr>
            <w:tcW w:w="1917" w:type="dxa"/>
            <w:tcBorders>
              <w:top w:val="nil"/>
              <w:left w:val="nil"/>
              <w:bottom w:val="nil"/>
              <w:right w:val="nil"/>
            </w:tcBorders>
            <w:shd w:val="clear" w:color="auto" w:fill="auto"/>
            <w:noWrap/>
            <w:vAlign w:val="bottom"/>
            <w:hideMark/>
          </w:tcPr>
          <w:p w:rsidR="004A7C69" w:rsidRDefault="004A7C69">
            <w:pPr>
              <w:rPr>
                <w:sz w:val="20"/>
                <w:szCs w:val="20"/>
              </w:rPr>
            </w:pPr>
          </w:p>
        </w:tc>
        <w:tc>
          <w:tcPr>
            <w:tcW w:w="799"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9" w:type="dxa"/>
            <w:tcBorders>
              <w:top w:val="nil"/>
              <w:left w:val="nil"/>
              <w:bottom w:val="nil"/>
              <w:right w:val="nil"/>
            </w:tcBorders>
            <w:shd w:val="clear" w:color="auto" w:fill="auto"/>
            <w:noWrap/>
            <w:vAlign w:val="bottom"/>
            <w:hideMark/>
          </w:tcPr>
          <w:p w:rsidR="004A7C69" w:rsidRDefault="004A7C69">
            <w:pPr>
              <w:rPr>
                <w:sz w:val="20"/>
                <w:szCs w:val="20"/>
              </w:rPr>
            </w:pPr>
          </w:p>
        </w:tc>
        <w:tc>
          <w:tcPr>
            <w:tcW w:w="1998" w:type="dxa"/>
            <w:tcBorders>
              <w:top w:val="nil"/>
              <w:left w:val="nil"/>
              <w:bottom w:val="nil"/>
              <w:right w:val="nil"/>
            </w:tcBorders>
            <w:shd w:val="clear" w:color="auto" w:fill="auto"/>
            <w:noWrap/>
            <w:vAlign w:val="bottom"/>
            <w:hideMark/>
          </w:tcPr>
          <w:p w:rsidR="004A7C69" w:rsidRDefault="004A7C69">
            <w:pPr>
              <w:rPr>
                <w:sz w:val="20"/>
                <w:szCs w:val="20"/>
              </w:rPr>
            </w:pPr>
          </w:p>
        </w:tc>
        <w:tc>
          <w:tcPr>
            <w:tcW w:w="889"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9095" w:type="dxa"/>
            <w:gridSpan w:val="6"/>
            <w:tcBorders>
              <w:top w:val="nil"/>
              <w:left w:val="nil"/>
              <w:bottom w:val="nil"/>
              <w:right w:val="nil"/>
            </w:tcBorders>
            <w:shd w:val="clear" w:color="auto" w:fill="auto"/>
            <w:vAlign w:val="center"/>
            <w:hideMark/>
          </w:tcPr>
          <w:p w:rsidR="004A7C69" w:rsidRDefault="004A7C69">
            <w:pPr>
              <w:jc w:val="both"/>
              <w:rPr>
                <w:rFonts w:ascii="Tahoma" w:hAnsi="Tahoma" w:cs="Tahoma"/>
                <w:sz w:val="18"/>
                <w:szCs w:val="18"/>
              </w:rPr>
            </w:pPr>
            <w:r>
              <w:rPr>
                <w:rFonts w:ascii="Tahoma" w:hAnsi="Tahoma" w:cs="Tahoma"/>
                <w:sz w:val="18"/>
                <w:szCs w:val="18"/>
              </w:rPr>
              <w:t xml:space="preserve">Ο αριθμοδείκτης αυτός απεικονίζει την αποδοτικότητα των ιδίων κεφαλαίων της εταιρείας. </w:t>
            </w:r>
          </w:p>
        </w:tc>
      </w:tr>
      <w:tr w:rsidR="004A7C69" w:rsidTr="004A7C69">
        <w:trPr>
          <w:trHeight w:val="228"/>
        </w:trPr>
        <w:tc>
          <w:tcPr>
            <w:tcW w:w="3483" w:type="dxa"/>
            <w:tcBorders>
              <w:top w:val="nil"/>
              <w:left w:val="nil"/>
              <w:bottom w:val="nil"/>
              <w:right w:val="nil"/>
            </w:tcBorders>
            <w:shd w:val="clear" w:color="auto" w:fill="auto"/>
            <w:noWrap/>
            <w:vAlign w:val="bottom"/>
            <w:hideMark/>
          </w:tcPr>
          <w:p w:rsidR="004A7C69" w:rsidRDefault="004A7C69">
            <w:pPr>
              <w:jc w:val="both"/>
              <w:rPr>
                <w:rFonts w:ascii="Tahoma" w:hAnsi="Tahoma" w:cs="Tahoma"/>
                <w:sz w:val="18"/>
                <w:szCs w:val="18"/>
              </w:rPr>
            </w:pPr>
          </w:p>
        </w:tc>
        <w:tc>
          <w:tcPr>
            <w:tcW w:w="1917" w:type="dxa"/>
            <w:tcBorders>
              <w:top w:val="nil"/>
              <w:left w:val="nil"/>
              <w:bottom w:val="nil"/>
              <w:right w:val="nil"/>
            </w:tcBorders>
            <w:shd w:val="clear" w:color="auto" w:fill="auto"/>
            <w:noWrap/>
            <w:vAlign w:val="bottom"/>
            <w:hideMark/>
          </w:tcPr>
          <w:p w:rsidR="004A7C69" w:rsidRDefault="004A7C69">
            <w:pPr>
              <w:rPr>
                <w:sz w:val="20"/>
                <w:szCs w:val="20"/>
              </w:rPr>
            </w:pPr>
          </w:p>
        </w:tc>
        <w:tc>
          <w:tcPr>
            <w:tcW w:w="799"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9" w:type="dxa"/>
            <w:tcBorders>
              <w:top w:val="nil"/>
              <w:left w:val="nil"/>
              <w:bottom w:val="nil"/>
              <w:right w:val="nil"/>
            </w:tcBorders>
            <w:shd w:val="clear" w:color="auto" w:fill="auto"/>
            <w:noWrap/>
            <w:vAlign w:val="bottom"/>
            <w:hideMark/>
          </w:tcPr>
          <w:p w:rsidR="004A7C69" w:rsidRDefault="004A7C69">
            <w:pPr>
              <w:rPr>
                <w:sz w:val="20"/>
                <w:szCs w:val="20"/>
              </w:rPr>
            </w:pPr>
          </w:p>
        </w:tc>
        <w:tc>
          <w:tcPr>
            <w:tcW w:w="2887" w:type="dxa"/>
            <w:gridSpan w:val="2"/>
            <w:tcBorders>
              <w:top w:val="nil"/>
              <w:left w:val="nil"/>
              <w:bottom w:val="nil"/>
              <w:right w:val="nil"/>
            </w:tcBorders>
            <w:shd w:val="clear" w:color="auto" w:fill="auto"/>
            <w:noWrap/>
            <w:vAlign w:val="bottom"/>
            <w:hideMark/>
          </w:tcPr>
          <w:p w:rsidR="004A7C69" w:rsidRDefault="004A7C69">
            <w:pPr>
              <w:rPr>
                <w:sz w:val="20"/>
                <w:szCs w:val="20"/>
              </w:rPr>
            </w:pPr>
          </w:p>
        </w:tc>
      </w:tr>
      <w:tr w:rsidR="004A7C69" w:rsidTr="004A7C69">
        <w:trPr>
          <w:trHeight w:val="240"/>
        </w:trPr>
        <w:tc>
          <w:tcPr>
            <w:tcW w:w="3483"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Μικτά αποτελέσματα</w:t>
            </w:r>
          </w:p>
        </w:tc>
        <w:tc>
          <w:tcPr>
            <w:tcW w:w="1917" w:type="dxa"/>
            <w:tcBorders>
              <w:top w:val="nil"/>
              <w:left w:val="nil"/>
              <w:bottom w:val="single" w:sz="4" w:space="0" w:color="auto"/>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 xml:space="preserve">        1.177.554,91 </w:t>
            </w:r>
          </w:p>
        </w:tc>
        <w:tc>
          <w:tcPr>
            <w:tcW w:w="799"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37,19%</w:t>
            </w:r>
          </w:p>
        </w:tc>
        <w:tc>
          <w:tcPr>
            <w:tcW w:w="9"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p>
        </w:tc>
        <w:tc>
          <w:tcPr>
            <w:tcW w:w="1998" w:type="dxa"/>
            <w:tcBorders>
              <w:top w:val="nil"/>
              <w:left w:val="nil"/>
              <w:bottom w:val="single" w:sz="4" w:space="0" w:color="auto"/>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1.305.802,91</w:t>
            </w:r>
          </w:p>
        </w:tc>
        <w:tc>
          <w:tcPr>
            <w:tcW w:w="889"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18"/>
                <w:szCs w:val="18"/>
              </w:rPr>
            </w:pPr>
            <w:r>
              <w:rPr>
                <w:rFonts w:ascii="Tahoma" w:hAnsi="Tahoma" w:cs="Tahoma"/>
                <w:sz w:val="18"/>
                <w:szCs w:val="18"/>
              </w:rPr>
              <w:t>38,01%</w:t>
            </w:r>
          </w:p>
        </w:tc>
      </w:tr>
      <w:tr w:rsidR="004A7C69" w:rsidTr="004A7C69">
        <w:trPr>
          <w:trHeight w:val="228"/>
        </w:trPr>
        <w:tc>
          <w:tcPr>
            <w:tcW w:w="3483" w:type="dxa"/>
            <w:tcBorders>
              <w:top w:val="nil"/>
              <w:left w:val="nil"/>
              <w:bottom w:val="nil"/>
              <w:right w:val="nil"/>
            </w:tcBorders>
            <w:shd w:val="clear" w:color="auto" w:fill="auto"/>
            <w:noWrap/>
            <w:vAlign w:val="bottom"/>
            <w:hideMark/>
          </w:tcPr>
          <w:p w:rsidR="004A7C69" w:rsidRDefault="004A7C69">
            <w:pPr>
              <w:rPr>
                <w:rFonts w:ascii="Tahoma" w:hAnsi="Tahoma" w:cs="Tahoma"/>
                <w:sz w:val="18"/>
                <w:szCs w:val="18"/>
              </w:rPr>
            </w:pPr>
            <w:r>
              <w:rPr>
                <w:rFonts w:ascii="Tahoma" w:hAnsi="Tahoma" w:cs="Tahoma"/>
                <w:sz w:val="18"/>
                <w:szCs w:val="18"/>
              </w:rPr>
              <w:t>Πωλήσεις αποθεμάτων &amp; υπηρεσιών</w:t>
            </w:r>
          </w:p>
        </w:tc>
        <w:tc>
          <w:tcPr>
            <w:tcW w:w="1917"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3.166.028,45</w:t>
            </w:r>
          </w:p>
        </w:tc>
        <w:tc>
          <w:tcPr>
            <w:tcW w:w="799"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c>
          <w:tcPr>
            <w:tcW w:w="9" w:type="dxa"/>
            <w:tcBorders>
              <w:top w:val="nil"/>
              <w:left w:val="nil"/>
              <w:bottom w:val="nil"/>
              <w:right w:val="nil"/>
            </w:tcBorders>
            <w:shd w:val="clear" w:color="auto" w:fill="auto"/>
            <w:noWrap/>
            <w:vAlign w:val="bottom"/>
            <w:hideMark/>
          </w:tcPr>
          <w:p w:rsidR="004A7C69" w:rsidRDefault="004A7C69">
            <w:pPr>
              <w:rPr>
                <w:sz w:val="20"/>
                <w:szCs w:val="20"/>
              </w:rPr>
            </w:pPr>
          </w:p>
        </w:tc>
        <w:tc>
          <w:tcPr>
            <w:tcW w:w="1998"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r>
              <w:rPr>
                <w:rFonts w:ascii="Tahoma" w:hAnsi="Tahoma" w:cs="Tahoma"/>
                <w:sz w:val="18"/>
                <w:szCs w:val="18"/>
              </w:rPr>
              <w:t>3.435.089,10</w:t>
            </w:r>
          </w:p>
        </w:tc>
        <w:tc>
          <w:tcPr>
            <w:tcW w:w="889"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18"/>
                <w:szCs w:val="18"/>
              </w:rPr>
            </w:pPr>
          </w:p>
        </w:tc>
      </w:tr>
      <w:tr w:rsidR="004A7C69" w:rsidTr="004A7C69">
        <w:trPr>
          <w:trHeight w:val="228"/>
        </w:trPr>
        <w:tc>
          <w:tcPr>
            <w:tcW w:w="3483" w:type="dxa"/>
            <w:tcBorders>
              <w:top w:val="nil"/>
              <w:left w:val="nil"/>
              <w:bottom w:val="nil"/>
              <w:right w:val="nil"/>
            </w:tcBorders>
            <w:shd w:val="clear" w:color="auto" w:fill="auto"/>
            <w:noWrap/>
            <w:vAlign w:val="bottom"/>
            <w:hideMark/>
          </w:tcPr>
          <w:p w:rsidR="004A7C69" w:rsidRDefault="004A7C69">
            <w:pPr>
              <w:jc w:val="right"/>
              <w:rPr>
                <w:sz w:val="20"/>
                <w:szCs w:val="20"/>
              </w:rPr>
            </w:pPr>
          </w:p>
        </w:tc>
        <w:tc>
          <w:tcPr>
            <w:tcW w:w="1917" w:type="dxa"/>
            <w:tcBorders>
              <w:top w:val="nil"/>
              <w:left w:val="nil"/>
              <w:bottom w:val="nil"/>
              <w:right w:val="nil"/>
            </w:tcBorders>
            <w:shd w:val="clear" w:color="auto" w:fill="auto"/>
            <w:noWrap/>
            <w:vAlign w:val="bottom"/>
            <w:hideMark/>
          </w:tcPr>
          <w:p w:rsidR="004A7C69" w:rsidRDefault="004A7C69">
            <w:pPr>
              <w:rPr>
                <w:sz w:val="20"/>
                <w:szCs w:val="20"/>
              </w:rPr>
            </w:pPr>
          </w:p>
        </w:tc>
        <w:tc>
          <w:tcPr>
            <w:tcW w:w="799" w:type="dxa"/>
            <w:tcBorders>
              <w:top w:val="nil"/>
              <w:left w:val="nil"/>
              <w:bottom w:val="nil"/>
              <w:right w:val="nil"/>
            </w:tcBorders>
            <w:shd w:val="clear" w:color="auto" w:fill="auto"/>
            <w:noWrap/>
            <w:vAlign w:val="bottom"/>
            <w:hideMark/>
          </w:tcPr>
          <w:p w:rsidR="004A7C69" w:rsidRDefault="004A7C69">
            <w:pPr>
              <w:jc w:val="center"/>
              <w:rPr>
                <w:sz w:val="20"/>
                <w:szCs w:val="20"/>
              </w:rPr>
            </w:pPr>
          </w:p>
        </w:tc>
        <w:tc>
          <w:tcPr>
            <w:tcW w:w="9" w:type="dxa"/>
            <w:tcBorders>
              <w:top w:val="nil"/>
              <w:left w:val="nil"/>
              <w:bottom w:val="nil"/>
              <w:right w:val="nil"/>
            </w:tcBorders>
            <w:shd w:val="clear" w:color="auto" w:fill="auto"/>
            <w:noWrap/>
            <w:vAlign w:val="bottom"/>
            <w:hideMark/>
          </w:tcPr>
          <w:p w:rsidR="004A7C69" w:rsidRDefault="004A7C69">
            <w:pPr>
              <w:rPr>
                <w:sz w:val="20"/>
                <w:szCs w:val="20"/>
              </w:rPr>
            </w:pPr>
          </w:p>
        </w:tc>
        <w:tc>
          <w:tcPr>
            <w:tcW w:w="1998" w:type="dxa"/>
            <w:tcBorders>
              <w:top w:val="nil"/>
              <w:left w:val="nil"/>
              <w:bottom w:val="nil"/>
              <w:right w:val="nil"/>
            </w:tcBorders>
            <w:shd w:val="clear" w:color="auto" w:fill="auto"/>
            <w:noWrap/>
            <w:vAlign w:val="bottom"/>
            <w:hideMark/>
          </w:tcPr>
          <w:p w:rsidR="004A7C69" w:rsidRDefault="004A7C69">
            <w:pPr>
              <w:rPr>
                <w:sz w:val="20"/>
                <w:szCs w:val="20"/>
              </w:rPr>
            </w:pPr>
          </w:p>
        </w:tc>
        <w:tc>
          <w:tcPr>
            <w:tcW w:w="889" w:type="dxa"/>
            <w:tcBorders>
              <w:top w:val="nil"/>
              <w:left w:val="nil"/>
              <w:bottom w:val="nil"/>
              <w:right w:val="nil"/>
            </w:tcBorders>
            <w:shd w:val="clear" w:color="auto" w:fill="auto"/>
            <w:noWrap/>
            <w:vAlign w:val="bottom"/>
            <w:hideMark/>
          </w:tcPr>
          <w:p w:rsidR="004A7C69" w:rsidRDefault="004A7C69">
            <w:pPr>
              <w:jc w:val="center"/>
              <w:rPr>
                <w:sz w:val="20"/>
                <w:szCs w:val="20"/>
              </w:rPr>
            </w:pPr>
          </w:p>
        </w:tc>
      </w:tr>
      <w:tr w:rsidR="004A7C69" w:rsidTr="004A7C69">
        <w:trPr>
          <w:trHeight w:val="228"/>
        </w:trPr>
        <w:tc>
          <w:tcPr>
            <w:tcW w:w="9095" w:type="dxa"/>
            <w:gridSpan w:val="6"/>
            <w:tcBorders>
              <w:top w:val="nil"/>
              <w:left w:val="nil"/>
              <w:bottom w:val="nil"/>
              <w:right w:val="nil"/>
            </w:tcBorders>
            <w:shd w:val="clear" w:color="auto" w:fill="auto"/>
            <w:vAlign w:val="center"/>
            <w:hideMark/>
          </w:tcPr>
          <w:p w:rsidR="004A7C69" w:rsidRDefault="004A7C69">
            <w:pPr>
              <w:jc w:val="both"/>
              <w:rPr>
                <w:rFonts w:ascii="Tahoma" w:hAnsi="Tahoma" w:cs="Tahoma"/>
                <w:sz w:val="18"/>
                <w:szCs w:val="18"/>
              </w:rPr>
            </w:pPr>
            <w:r>
              <w:rPr>
                <w:rFonts w:ascii="Tahoma" w:hAnsi="Tahoma" w:cs="Tahoma"/>
                <w:sz w:val="18"/>
                <w:szCs w:val="18"/>
              </w:rPr>
              <w:t>Ο αριθμοδείκτης αυτός απεικονίζει το ποσοστιαίο μέγεθος του μικτού κέρδους επί των πωλήσεων της εταιρείας.</w:t>
            </w:r>
          </w:p>
        </w:tc>
      </w:tr>
    </w:tbl>
    <w:p w:rsidR="004A7C69" w:rsidRPr="00485A4C" w:rsidRDefault="004A7C69" w:rsidP="002C407F">
      <w:pPr>
        <w:ind w:left="-851"/>
        <w:jc w:val="both"/>
        <w:rPr>
          <w:rFonts w:ascii="Tahoma" w:hAnsi="Tahoma" w:cs="Tahoma"/>
          <w:b/>
          <w:bCs/>
          <w:iCs/>
          <w:sz w:val="22"/>
          <w:szCs w:val="22"/>
          <w:highlight w:val="red"/>
          <w:lang w:val="en-US"/>
        </w:rPr>
      </w:pPr>
    </w:p>
    <w:p w:rsidR="0042352F" w:rsidRPr="00485A4C" w:rsidRDefault="0042352F" w:rsidP="0042352F">
      <w:pPr>
        <w:jc w:val="both"/>
        <w:rPr>
          <w:rFonts w:ascii="Tahoma" w:hAnsi="Tahoma" w:cs="Tahoma"/>
          <w:bCs/>
          <w:iCs/>
          <w:sz w:val="22"/>
          <w:szCs w:val="22"/>
          <w:highlight w:val="red"/>
        </w:rPr>
      </w:pPr>
    </w:p>
    <w:p w:rsidR="0042352F" w:rsidRPr="00485A4C" w:rsidRDefault="0042352F" w:rsidP="0042352F">
      <w:pPr>
        <w:jc w:val="both"/>
        <w:rPr>
          <w:rFonts w:ascii="Tahoma" w:hAnsi="Tahoma" w:cs="Tahoma"/>
          <w:b/>
          <w:bCs/>
          <w:iCs/>
          <w:sz w:val="22"/>
          <w:szCs w:val="22"/>
          <w:highlight w:val="yellow"/>
          <w:u w:val="single"/>
        </w:rPr>
      </w:pPr>
    </w:p>
    <w:p w:rsidR="0042352F" w:rsidRPr="00485A4C" w:rsidRDefault="0042352F" w:rsidP="004472D1">
      <w:pPr>
        <w:autoSpaceDE w:val="0"/>
        <w:autoSpaceDN w:val="0"/>
        <w:adjustRightInd w:val="0"/>
        <w:spacing w:line="360" w:lineRule="auto"/>
        <w:ind w:left="-540"/>
        <w:jc w:val="both"/>
        <w:rPr>
          <w:rFonts w:ascii="Tahoma" w:hAnsi="Tahoma" w:cs="Tahoma"/>
          <w:b/>
          <w:sz w:val="22"/>
          <w:szCs w:val="22"/>
        </w:rPr>
      </w:pPr>
      <w:r w:rsidRPr="00485A4C">
        <w:rPr>
          <w:rFonts w:ascii="Tahoma" w:hAnsi="Tahoma" w:cs="Tahoma"/>
          <w:b/>
          <w:sz w:val="22"/>
          <w:szCs w:val="22"/>
        </w:rPr>
        <w:t xml:space="preserve">3. ΠΡΟΒΛΕΠΟΜΕΝΗ ΠΟΡΕΙΑ </w:t>
      </w:r>
      <w:r w:rsidR="002638DE" w:rsidRPr="00485A4C">
        <w:rPr>
          <w:rFonts w:ascii="Tahoma" w:hAnsi="Tahoma" w:cs="Tahoma"/>
          <w:b/>
          <w:sz w:val="22"/>
          <w:szCs w:val="22"/>
        </w:rPr>
        <w:t>ΕΤΑΙΡΕΙΑΣ</w:t>
      </w:r>
      <w:r w:rsidRPr="00485A4C">
        <w:rPr>
          <w:rFonts w:ascii="Tahoma" w:hAnsi="Tahoma" w:cs="Tahoma"/>
          <w:b/>
          <w:sz w:val="22"/>
          <w:szCs w:val="22"/>
        </w:rPr>
        <w:t xml:space="preserve"> - ΔΙΑΧΕΙΡΙΣΗ ΚΙΝΔΥΝΩΝ</w:t>
      </w:r>
    </w:p>
    <w:p w:rsidR="0042352F" w:rsidRPr="00485A4C" w:rsidRDefault="0042352F" w:rsidP="0042352F">
      <w:pPr>
        <w:jc w:val="both"/>
        <w:rPr>
          <w:rFonts w:ascii="Tahoma" w:hAnsi="Tahoma" w:cs="Tahoma"/>
          <w:b/>
          <w:bCs/>
          <w:iCs/>
          <w:sz w:val="22"/>
          <w:szCs w:val="22"/>
        </w:rPr>
      </w:pPr>
    </w:p>
    <w:p w:rsidR="0042352F" w:rsidRPr="00485A4C" w:rsidRDefault="0042352F" w:rsidP="00CF580E">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Προβλεπόμενη πορεία τ</w:t>
      </w:r>
      <w:r w:rsidR="002638DE" w:rsidRPr="00485A4C">
        <w:rPr>
          <w:rFonts w:ascii="Tahoma" w:hAnsi="Tahoma" w:cs="Tahoma"/>
          <w:sz w:val="22"/>
          <w:szCs w:val="22"/>
        </w:rPr>
        <w:t>ης</w:t>
      </w:r>
      <w:r w:rsidRPr="00485A4C">
        <w:rPr>
          <w:rFonts w:ascii="Tahoma" w:hAnsi="Tahoma" w:cs="Tahoma"/>
          <w:sz w:val="22"/>
          <w:szCs w:val="22"/>
        </w:rPr>
        <w:t xml:space="preserve"> </w:t>
      </w:r>
      <w:r w:rsidR="002638DE" w:rsidRPr="00485A4C">
        <w:rPr>
          <w:rFonts w:ascii="Tahoma" w:hAnsi="Tahoma" w:cs="Tahoma"/>
          <w:sz w:val="22"/>
          <w:szCs w:val="22"/>
        </w:rPr>
        <w:t>Εταιρείας</w:t>
      </w:r>
    </w:p>
    <w:p w:rsidR="003F3381" w:rsidRPr="00485A4C" w:rsidRDefault="003F3381" w:rsidP="00CF580E">
      <w:pPr>
        <w:autoSpaceDE w:val="0"/>
        <w:autoSpaceDN w:val="0"/>
        <w:adjustRightInd w:val="0"/>
        <w:spacing w:line="360" w:lineRule="auto"/>
        <w:ind w:left="-540"/>
        <w:jc w:val="both"/>
        <w:rPr>
          <w:rFonts w:ascii="Tahoma" w:hAnsi="Tahoma" w:cs="Tahoma"/>
          <w:sz w:val="22"/>
          <w:szCs w:val="22"/>
        </w:rPr>
      </w:pPr>
    </w:p>
    <w:p w:rsidR="003F3381" w:rsidRPr="00485A4C" w:rsidRDefault="003F3381" w:rsidP="00CF580E">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Με δεδομένη τη διαφαινόμενη διατήρηση του υφιστάμενου αρνητικού κλίματος, η Διοίκηση της Εταιρείας παρακολουθεί διαρκώς τις εξελίξεις και προσαρμόζει τις κινήσεις της, ενισχύοντας διαρκώς την ανταγωνιστικότητα και την αποτελεσματικότητα της. Ο κυριότερος στόχος της Διοίκησης, για το 201</w:t>
      </w:r>
      <w:r w:rsidR="004A7C69">
        <w:rPr>
          <w:rFonts w:ascii="Tahoma" w:hAnsi="Tahoma" w:cs="Tahoma"/>
          <w:sz w:val="22"/>
          <w:szCs w:val="22"/>
          <w:lang w:val="en-US"/>
        </w:rPr>
        <w:t>8</w:t>
      </w:r>
      <w:r w:rsidRPr="00485A4C">
        <w:rPr>
          <w:rFonts w:ascii="Tahoma" w:hAnsi="Tahoma" w:cs="Tahoma"/>
          <w:sz w:val="22"/>
          <w:szCs w:val="22"/>
        </w:rPr>
        <w:t>, είναι η διατήρηση της θετικής πορείας των αποτελεσμάτων της, μέσα από την ανάπτυξη νέων προϊόντων και υπηρεσιών, ώστε να επιτευχθεί η ανάπτυξη πωλήσεων σε νέες αγορές.</w:t>
      </w:r>
    </w:p>
    <w:p w:rsidR="003F3381" w:rsidRPr="00485A4C" w:rsidRDefault="003F3381" w:rsidP="00CF580E">
      <w:pPr>
        <w:autoSpaceDE w:val="0"/>
        <w:autoSpaceDN w:val="0"/>
        <w:adjustRightInd w:val="0"/>
        <w:spacing w:line="360" w:lineRule="auto"/>
        <w:ind w:left="-540"/>
        <w:jc w:val="both"/>
        <w:rPr>
          <w:rFonts w:ascii="Tahoma" w:hAnsi="Tahoma" w:cs="Tahoma"/>
          <w:sz w:val="22"/>
          <w:szCs w:val="22"/>
        </w:rPr>
      </w:pPr>
    </w:p>
    <w:p w:rsidR="003F3381" w:rsidRPr="00485A4C" w:rsidRDefault="003F3381" w:rsidP="003F3381">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lastRenderedPageBreak/>
        <w:t>Τα σημαντικότερα γεγονότα που αναμένεται να επηρεάσουν την πορεία της Εταιρείας είναι η εξέλιξη της πορείας της Ελληνικής οικονομίας που επηρεάζει δραματικά τη ζήτηση.</w:t>
      </w:r>
    </w:p>
    <w:p w:rsidR="003F3381" w:rsidRPr="00485A4C" w:rsidRDefault="003F3381" w:rsidP="003F3381">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Επίσης σημειώνουμε ότι: Μέχρι την σύνταξη της παρούσας έκθεσης, δεν υπάρχουν σημαντικά γεγονότα τα οποία συνέβησαν από τη λήξη της κλειομένης χρήσης και τα οποία μπορούν να επηρεάσουν σημαντικά την οικονομική διάρθρωση ή την επιχειρηματική πορεία της.</w:t>
      </w:r>
    </w:p>
    <w:p w:rsidR="0042352F" w:rsidRPr="00485A4C" w:rsidRDefault="0042352F" w:rsidP="00CF580E">
      <w:pPr>
        <w:autoSpaceDE w:val="0"/>
        <w:autoSpaceDN w:val="0"/>
        <w:adjustRightInd w:val="0"/>
        <w:spacing w:line="360" w:lineRule="auto"/>
        <w:ind w:left="-540"/>
        <w:jc w:val="both"/>
        <w:rPr>
          <w:rFonts w:ascii="Tahoma" w:hAnsi="Tahoma" w:cs="Tahoma"/>
          <w:sz w:val="22"/>
          <w:szCs w:val="22"/>
        </w:rPr>
      </w:pPr>
    </w:p>
    <w:p w:rsidR="00B74DFC" w:rsidRPr="00485A4C" w:rsidRDefault="00B74DFC" w:rsidP="00761F00">
      <w:pPr>
        <w:autoSpaceDE w:val="0"/>
        <w:autoSpaceDN w:val="0"/>
        <w:adjustRightInd w:val="0"/>
        <w:spacing w:line="360" w:lineRule="auto"/>
        <w:jc w:val="both"/>
        <w:rPr>
          <w:rFonts w:ascii="Tahoma" w:hAnsi="Tahoma" w:cs="Tahoma"/>
          <w:b/>
          <w:bCs/>
          <w:iCs/>
          <w:sz w:val="22"/>
          <w:szCs w:val="22"/>
          <w:highlight w:val="yellow"/>
        </w:rPr>
      </w:pPr>
    </w:p>
    <w:p w:rsidR="0042352F" w:rsidRPr="00485A4C" w:rsidRDefault="00937F9C" w:rsidP="00937F9C">
      <w:pPr>
        <w:autoSpaceDE w:val="0"/>
        <w:autoSpaceDN w:val="0"/>
        <w:adjustRightInd w:val="0"/>
        <w:spacing w:line="360" w:lineRule="auto"/>
        <w:ind w:left="-540"/>
        <w:jc w:val="both"/>
        <w:rPr>
          <w:rFonts w:ascii="Tahoma" w:hAnsi="Tahoma" w:cs="Tahoma"/>
          <w:b/>
          <w:sz w:val="22"/>
          <w:szCs w:val="22"/>
        </w:rPr>
      </w:pPr>
      <w:bookmarkStart w:id="3" w:name="_Toc210208795"/>
      <w:r w:rsidRPr="00485A4C">
        <w:rPr>
          <w:rFonts w:ascii="Tahoma" w:hAnsi="Tahoma" w:cs="Tahoma"/>
          <w:b/>
          <w:sz w:val="22"/>
          <w:szCs w:val="22"/>
        </w:rPr>
        <w:t xml:space="preserve">4. </w:t>
      </w:r>
      <w:bookmarkEnd w:id="3"/>
      <w:r w:rsidRPr="00485A4C">
        <w:rPr>
          <w:rFonts w:ascii="Tahoma" w:hAnsi="Tahoma" w:cs="Tahoma"/>
          <w:b/>
          <w:sz w:val="22"/>
          <w:szCs w:val="22"/>
        </w:rPr>
        <w:t>ΔΙΑΧΕΙΡΙΣΗ ΧΡΗΜΑΤΟΟΙΚΟΝΟΜΙΚΟΥ ΚΙΝΔΥΝΟΥ</w:t>
      </w:r>
    </w:p>
    <w:p w:rsidR="0042352F" w:rsidRPr="00485A4C" w:rsidRDefault="0042352F" w:rsidP="0042352F">
      <w:pPr>
        <w:jc w:val="both"/>
        <w:rPr>
          <w:rFonts w:ascii="Tahoma" w:hAnsi="Tahoma" w:cs="Tahoma"/>
          <w:b/>
          <w:bCs/>
          <w:iCs/>
          <w:sz w:val="22"/>
          <w:szCs w:val="22"/>
        </w:rPr>
      </w:pP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Τα χρηματοοικονομικά εργαλεία της εταιρείας αποτελούνται κυρίως από ταμειακά διαθέσιμα και ισοδύναμα, ομολογιακά δάνεια καθώς και εμπορικές απαιτήσεις και υποχρεώσεις. Η εταιρεία συνήθως, δεν διενεργεί συναλλαγές κερδοσκοπικού χαρακτήρα ή  συναλλαγές οι οποίες δεν σχετίζονται µε την εμπορική δραστηριότητα τ</w:t>
      </w:r>
      <w:r w:rsidR="002638DE" w:rsidRPr="00485A4C">
        <w:rPr>
          <w:rFonts w:ascii="Tahoma" w:hAnsi="Tahoma" w:cs="Tahoma"/>
          <w:sz w:val="22"/>
          <w:szCs w:val="22"/>
        </w:rPr>
        <w:t>ης</w:t>
      </w:r>
      <w:r w:rsidRPr="00485A4C">
        <w:rPr>
          <w:rFonts w:ascii="Tahoma" w:hAnsi="Tahoma" w:cs="Tahoma"/>
          <w:sz w:val="22"/>
          <w:szCs w:val="22"/>
        </w:rPr>
        <w:t>. Επίσης εκτίθεται σε περιορισμένο φάσμα χρηματοοικονομικών κινδύνων. Οι συνήθεις κίνδυνοι στους οποίους θεωρητικά υπάγεται, είναι κίνδυνοι αγοράς (συναλλαγματικός κίνδυνος, επιτόκιο, τιμές αγοράς), πιστωτικός κίνδυνος, κίνδυνος ρευστότητας, κίνδυνος ταμειακών ροών. Η διαχείριση των κινδύνων γίνεται από τη Διοίκηση και εστιάζεται κυρίως στην αναγνώριση και εκτίμηση των χρηματοοικονομικών κινδύνων καθώς και την πολιτική διατήρησης πλεονάζουσας ρευστότητας.</w:t>
      </w:r>
    </w:p>
    <w:p w:rsidR="0047500B" w:rsidRPr="00485A4C" w:rsidRDefault="0047500B" w:rsidP="0047500B">
      <w:pPr>
        <w:autoSpaceDE w:val="0"/>
        <w:autoSpaceDN w:val="0"/>
        <w:adjustRightInd w:val="0"/>
        <w:ind w:left="-540"/>
        <w:jc w:val="both"/>
        <w:rPr>
          <w:rFonts w:ascii="Tahoma" w:hAnsi="Tahoma" w:cs="Tahoma"/>
          <w:b/>
          <w:bCs/>
          <w:sz w:val="22"/>
          <w:szCs w:val="22"/>
        </w:rPr>
      </w:pPr>
    </w:p>
    <w:p w:rsidR="0047500B" w:rsidRPr="00485A4C" w:rsidRDefault="0047500B" w:rsidP="0047500B">
      <w:pPr>
        <w:autoSpaceDE w:val="0"/>
        <w:autoSpaceDN w:val="0"/>
        <w:adjustRightInd w:val="0"/>
        <w:ind w:left="-540"/>
        <w:jc w:val="both"/>
        <w:rPr>
          <w:rFonts w:ascii="Tahoma" w:hAnsi="Tahoma" w:cs="Tahoma"/>
          <w:b/>
          <w:bCs/>
          <w:sz w:val="22"/>
          <w:szCs w:val="22"/>
        </w:rPr>
      </w:pPr>
      <w:r w:rsidRPr="00485A4C">
        <w:rPr>
          <w:rFonts w:ascii="Tahoma" w:hAnsi="Tahoma" w:cs="Tahoma"/>
          <w:b/>
          <w:bCs/>
          <w:sz w:val="22"/>
          <w:szCs w:val="22"/>
        </w:rPr>
        <w:t>Παράγοντες χρηματοοικονομικού κινδύνου</w:t>
      </w:r>
    </w:p>
    <w:p w:rsidR="0047500B" w:rsidRPr="00485A4C" w:rsidRDefault="0047500B" w:rsidP="0047500B">
      <w:pPr>
        <w:autoSpaceDE w:val="0"/>
        <w:autoSpaceDN w:val="0"/>
        <w:adjustRightInd w:val="0"/>
        <w:ind w:left="-540"/>
        <w:jc w:val="both"/>
        <w:rPr>
          <w:rFonts w:ascii="Tahoma" w:hAnsi="Tahoma" w:cs="Tahoma"/>
          <w:b/>
          <w:bCs/>
          <w:sz w:val="22"/>
          <w:szCs w:val="22"/>
        </w:rPr>
      </w:pP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(α) </w:t>
      </w:r>
      <w:r w:rsidRPr="00485A4C">
        <w:rPr>
          <w:rFonts w:ascii="Tahoma" w:hAnsi="Tahoma" w:cs="Tahoma"/>
          <w:sz w:val="22"/>
          <w:szCs w:val="22"/>
          <w:u w:val="single"/>
        </w:rPr>
        <w:t>Κίνδυνος αγοράς</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i) Συναλλαγματικός κίνδυνος</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 συναλλαγματικός κίνδυνος προκύπτει λόγω των συναλλαγών σε ξένο νόμισμα. Η εταιρεία δεν έχει δραστηριότητα στο εξωτερικό και κατά συνέπεια δεν είναι εκτεθειμένη σε κινδύνους από ξένο νόμισμα. Τα περιουσιακά στοιχεία και οι υποχρεώσεις της έχουν αρχικά αναγνωριστεί σε (€) ευρώ, που είναι το λειτουργικό της νόμισμα.</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ii) Κίνδυνος τιμών</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εταιρεία εκτίθεται στον κίνδυνο από την μεταβολή του Δείκτη Τιμών Καταναλωτή μέσα από τις συνήθεις δραστηριότητες της αλλά και όταν συνάπτει συμβάσεις μισθώσεων. Επισημαίνεται ότι στην πλειοψηφία τους οι συμβάσεις που συνάπτει η εταιρεία είναι βραχυχρόνιας διάρκειας.</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iii) Κίνδυνος ταμειακών ροών και κίνδυνος μεταβολής επιτοκίων</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εταιρεία έχει στο ενεργητικό της έντοκα περιουσιακά στοιχεία, όπως βραχυχρόνιες επενδύσεις σε καταθέσεις όψεως. Η εταιρεία δεν έχει σημαντικές  υποχρεώσεις από δάνεια. Κατά συνέπεια, η εταιρεία εκτίθεται σε μικρό κίνδυνο από διακυμάνσεις στα επιτόκια.</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(β) </w:t>
      </w:r>
      <w:r w:rsidRPr="00485A4C">
        <w:rPr>
          <w:rFonts w:ascii="Tahoma" w:hAnsi="Tahoma" w:cs="Tahoma"/>
          <w:sz w:val="22"/>
          <w:szCs w:val="22"/>
          <w:u w:val="single"/>
        </w:rPr>
        <w:t>Πιστωτικός κίνδυνος</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Η εταιρεία παρέχει υπηρεσίες και πουλάει προϊόντα &amp; εμπορεύματα αποκλειστικά χονδρική. Η Διοίκηση έχει θέσει πολιτικές οι οποίες εξασφαλίζουν ότι οι πωλήσεις αγαθών και υπηρεσιών </w:t>
      </w:r>
      <w:r w:rsidRPr="00485A4C">
        <w:rPr>
          <w:rFonts w:ascii="Tahoma" w:hAnsi="Tahoma" w:cs="Tahoma"/>
          <w:sz w:val="22"/>
          <w:szCs w:val="22"/>
        </w:rPr>
        <w:lastRenderedPageBreak/>
        <w:t>πραγματοποιούνται σε πελάτες µε αξιολογημένο ιστορικό πιστώσεων. Οι εμπορικές απαιτήσεις προέρχονται από µία σχετικά σταθερή βάση πελατών. Η εταιρεία παρακολουθεί την οικονομική κατάσταση των πελατών συνεχώς και προσαρμόζει την πιστωτική πολιτική του αναλόγως. Κατάλληλες προβλέψεις αναγνωρίζονται για ζημιές προερχόμενες από απομείωση απαιτήσεων λόγω συγκεκριμένων πιστωτικών κινδύνων.</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(γ) </w:t>
      </w:r>
      <w:r w:rsidRPr="00485A4C">
        <w:rPr>
          <w:rFonts w:ascii="Tahoma" w:hAnsi="Tahoma" w:cs="Tahoma"/>
          <w:sz w:val="22"/>
          <w:szCs w:val="22"/>
          <w:u w:val="single"/>
        </w:rPr>
        <w:t>Κίνδυνος ρευστότητας</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 κίνδυνος ρευστότητας σχετίζεται με την δυνατότητα της εταιρείας να εκπληρώσει τις χρηματοοικονομικές της υποχρεώσεις, όταν αυτές γίνουν ληξιπρόθεσμες.</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παρακολούθηση του κινδύνου ρευστότητας επικεντρώνεται στη διαχείριση του χρονικού συσχετισμού των ταμειακών ροών και  στην εξασφάλιση επαρκών  ταμειακών διαθεσίμων για την κάλυψη των τρεχουσών συναλλαγών.</w:t>
      </w:r>
    </w:p>
    <w:p w:rsidR="003F3381"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Η εταιρική διαχείριση του κινδύνου ρευστότητας βασίζεται στη σωστή διαχείριση του κεφαλαίου κίνησης και των ταμειακών ροών. Λόγω της δυναμικής φύσης της επιχειρηματικής δραστηριότητας, η Διοίκηση στοχεύει να διατηρήσει ελαστικότητα στην άντληση κεφαλαίων, διατηρώντας επαρκή ταμειακά διαθέσιμα και ανοιχτές πιστώσεις με αλληλόχρεους λογαριασμούς. </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Από τις 28 Ιουνίου 2015 μέχρι τις 20 Ιουλίου 2015, με Πράξεις Νομοθετικού Περιεχομένου οι Ελληνικές τράπεζες αρχικά τέθηκαν σε αργία ενώ ταυτόχρονα επιβλήθηκαν έλεγχοι στη κίνηση κεφαλαίων (capital controls). Σήμερα οι Ελληνικές τράπεζες λειτουργούν κανονικά αλλά παραμένουν σε ισχύ, έστω και με διαφοροποιήσεις, οι περιορισμοί στην κίνηση των κεφαλαίων. Η ταμιακή διαχείριση στην εταιρεία, στο πλαίσιο της διαφοροποίησης του κινδύνου ρευστότητας, έχει προετοιμαστεί κατάλληλα ώστε να αντιμετωπίσει κατά το δυνατόν επιπτώσεις από την επιβολή περιορισμού κεφαλαίων στην εγχώρια αγορά.</w:t>
      </w:r>
    </w:p>
    <w:p w:rsidR="0047500B" w:rsidRPr="00485A4C" w:rsidRDefault="0047500B" w:rsidP="0047500B">
      <w:pPr>
        <w:autoSpaceDE w:val="0"/>
        <w:autoSpaceDN w:val="0"/>
        <w:adjustRightInd w:val="0"/>
        <w:spacing w:line="360" w:lineRule="auto"/>
        <w:ind w:left="-540"/>
        <w:jc w:val="both"/>
        <w:rPr>
          <w:rFonts w:ascii="Tahoma" w:hAnsi="Tahoma" w:cs="Tahoma"/>
          <w:sz w:val="22"/>
          <w:szCs w:val="22"/>
          <w:u w:val="single"/>
        </w:rPr>
      </w:pPr>
      <w:r w:rsidRPr="00485A4C">
        <w:rPr>
          <w:rFonts w:ascii="Tahoma" w:hAnsi="Tahoma" w:cs="Tahoma"/>
          <w:sz w:val="22"/>
          <w:szCs w:val="22"/>
          <w:u w:val="single"/>
        </w:rPr>
        <w:t>δ) Διαχείριση κεφαλαιουχικού κινδύνου</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 σκοπός της διαχείρισης του κεφαλαιουχικού κινδύνου είναι η εξασφάλιση της συνεχιζόμενης δραστηριότητας της εταιρείας (going concern) για να υπάρχουν ικανοποιητικές αποδόσεις για τους μετόχους, να διατηρηθεί μια ιδανική κεφαλαιουχική δομή και για να μειωθεί το κόστος κεφαλαίου.</w:t>
      </w:r>
    </w:p>
    <w:p w:rsidR="0047500B" w:rsidRPr="00485A4C" w:rsidRDefault="0047500B" w:rsidP="0047500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Η διατήρηση ή προσαρμογή της κεφαλαιουχικής δομής,  μπορεί να γίνει μέσω της προσαρμογής του ποσού των μερισμάτων που πληρώνονται στους μετόχους, της επιστροφής μετοχικού κεφαλαίου ή της έκδοσης νέων μετοχών. </w:t>
      </w:r>
    </w:p>
    <w:p w:rsidR="00CF580E" w:rsidRPr="00485A4C" w:rsidRDefault="00CF580E" w:rsidP="0042352F">
      <w:pPr>
        <w:jc w:val="both"/>
        <w:rPr>
          <w:rFonts w:ascii="Tahoma" w:hAnsi="Tahoma" w:cs="Tahoma"/>
          <w:b/>
          <w:bCs/>
          <w:iCs/>
          <w:sz w:val="22"/>
          <w:szCs w:val="22"/>
        </w:rPr>
      </w:pPr>
    </w:p>
    <w:p w:rsidR="00DC26FA" w:rsidRPr="00485A4C" w:rsidRDefault="00DC26FA" w:rsidP="00DC26FA">
      <w:pPr>
        <w:ind w:hanging="540"/>
        <w:jc w:val="both"/>
        <w:rPr>
          <w:rFonts w:ascii="Tahoma" w:hAnsi="Tahoma" w:cs="Tahoma"/>
          <w:b/>
          <w:sz w:val="22"/>
          <w:szCs w:val="22"/>
        </w:rPr>
      </w:pPr>
      <w:r w:rsidRPr="00485A4C">
        <w:rPr>
          <w:rFonts w:ascii="Tahoma" w:hAnsi="Tahoma" w:cs="Tahoma"/>
          <w:b/>
          <w:sz w:val="22"/>
          <w:szCs w:val="22"/>
        </w:rPr>
        <w:t>5. ΣΥΝΑΛΛΑΓΕΣ ΜΕ ΣΥΝΔΕΔΕΜΕΝΑ ΜΕΡΗ</w:t>
      </w:r>
    </w:p>
    <w:p w:rsidR="00DC26FA" w:rsidRPr="00485A4C" w:rsidRDefault="00DC26FA" w:rsidP="00DC26FA">
      <w:pPr>
        <w:jc w:val="both"/>
        <w:rPr>
          <w:rFonts w:ascii="Tahoma" w:hAnsi="Tahoma" w:cs="Tahoma"/>
          <w:b/>
          <w:bCs/>
          <w:iCs/>
          <w:sz w:val="22"/>
          <w:szCs w:val="22"/>
          <w:u w:val="single"/>
        </w:rPr>
      </w:pPr>
    </w:p>
    <w:p w:rsidR="00DC26FA" w:rsidRPr="00485A4C" w:rsidRDefault="00DC26FA" w:rsidP="00DC26FA">
      <w:pPr>
        <w:spacing w:line="360" w:lineRule="auto"/>
        <w:ind w:left="-540"/>
        <w:jc w:val="both"/>
        <w:rPr>
          <w:rFonts w:ascii="Tahoma" w:hAnsi="Tahoma" w:cs="Tahoma"/>
          <w:sz w:val="22"/>
          <w:szCs w:val="22"/>
        </w:rPr>
      </w:pPr>
      <w:r w:rsidRPr="00485A4C">
        <w:rPr>
          <w:rFonts w:ascii="Tahoma" w:hAnsi="Tahoma" w:cs="Tahoma"/>
          <w:sz w:val="22"/>
          <w:szCs w:val="22"/>
          <w:u w:val="single"/>
        </w:rPr>
        <w:t>Μέλη Διοίκησης &amp; διευθυντικά στελέχη</w:t>
      </w:r>
    </w:p>
    <w:p w:rsidR="00DC26FA" w:rsidRPr="00485A4C" w:rsidRDefault="00DC26FA" w:rsidP="00DC26FA">
      <w:pPr>
        <w:spacing w:line="360" w:lineRule="auto"/>
        <w:ind w:left="-540"/>
        <w:jc w:val="both"/>
        <w:rPr>
          <w:rFonts w:ascii="Tahoma" w:hAnsi="Tahoma" w:cs="Tahoma"/>
          <w:sz w:val="22"/>
          <w:szCs w:val="22"/>
        </w:rPr>
      </w:pPr>
      <w:r w:rsidRPr="00485A4C">
        <w:rPr>
          <w:rFonts w:ascii="Tahoma" w:hAnsi="Tahoma" w:cs="Tahoma"/>
          <w:sz w:val="22"/>
          <w:szCs w:val="22"/>
        </w:rPr>
        <w:t>-Δεν υπάρχουν στη δομή της Εταιρείας διευθυντικά στελέχη</w:t>
      </w:r>
    </w:p>
    <w:p w:rsidR="0047500B" w:rsidRPr="00485A4C" w:rsidRDefault="0047500B" w:rsidP="0047500B">
      <w:pPr>
        <w:spacing w:line="360" w:lineRule="auto"/>
        <w:ind w:left="-540"/>
        <w:jc w:val="both"/>
        <w:rPr>
          <w:rFonts w:ascii="Tahoma" w:hAnsi="Tahoma" w:cs="Tahoma"/>
          <w:sz w:val="22"/>
          <w:szCs w:val="22"/>
        </w:rPr>
      </w:pPr>
      <w:r w:rsidRPr="00485A4C">
        <w:rPr>
          <w:rFonts w:ascii="Tahoma" w:hAnsi="Tahoma" w:cs="Tahoma"/>
          <w:sz w:val="22"/>
          <w:szCs w:val="22"/>
        </w:rPr>
        <w:t xml:space="preserve">-Συναλλαγές με Μέλη του Διοικητικού Συμβουλίου &amp; συγγενείς </w:t>
      </w:r>
    </w:p>
    <w:p w:rsidR="0047500B" w:rsidRDefault="0047500B" w:rsidP="0047500B">
      <w:pPr>
        <w:spacing w:line="360" w:lineRule="auto"/>
        <w:ind w:left="-540"/>
        <w:jc w:val="both"/>
        <w:rPr>
          <w:rFonts w:ascii="Tahoma" w:hAnsi="Tahoma" w:cs="Tahoma"/>
          <w:sz w:val="22"/>
          <w:szCs w:val="22"/>
          <w:lang w:val="en-US"/>
        </w:rPr>
      </w:pPr>
    </w:p>
    <w:p w:rsidR="004A7C69" w:rsidRDefault="004A7C69" w:rsidP="0047500B">
      <w:pPr>
        <w:spacing w:line="360" w:lineRule="auto"/>
        <w:ind w:left="-540"/>
        <w:jc w:val="both"/>
        <w:rPr>
          <w:rFonts w:ascii="Tahoma" w:hAnsi="Tahoma" w:cs="Tahoma"/>
          <w:sz w:val="22"/>
          <w:szCs w:val="22"/>
          <w:lang w:val="en-US"/>
        </w:rPr>
      </w:pPr>
    </w:p>
    <w:p w:rsidR="004A7C69" w:rsidRDefault="004A7C69" w:rsidP="0047500B">
      <w:pPr>
        <w:spacing w:line="360" w:lineRule="auto"/>
        <w:ind w:left="-540"/>
        <w:jc w:val="both"/>
        <w:rPr>
          <w:rFonts w:ascii="Tahoma" w:hAnsi="Tahoma" w:cs="Tahoma"/>
          <w:sz w:val="22"/>
          <w:szCs w:val="22"/>
          <w:lang w:val="en-US"/>
        </w:rPr>
      </w:pPr>
    </w:p>
    <w:p w:rsidR="004A7C69" w:rsidRDefault="004A7C69" w:rsidP="0047500B">
      <w:pPr>
        <w:spacing w:line="360" w:lineRule="auto"/>
        <w:ind w:left="-540"/>
        <w:jc w:val="both"/>
        <w:rPr>
          <w:rFonts w:ascii="Tahoma" w:hAnsi="Tahoma" w:cs="Tahoma"/>
          <w:sz w:val="22"/>
          <w:szCs w:val="22"/>
          <w:lang w:val="en-US"/>
        </w:rPr>
      </w:pPr>
    </w:p>
    <w:tbl>
      <w:tblPr>
        <w:tblW w:w="8480" w:type="dxa"/>
        <w:tblLook w:val="04A0" w:firstRow="1" w:lastRow="0" w:firstColumn="1" w:lastColumn="0" w:noHBand="0" w:noVBand="1"/>
      </w:tblPr>
      <w:tblGrid>
        <w:gridCol w:w="5096"/>
        <w:gridCol w:w="1692"/>
        <w:gridCol w:w="1692"/>
      </w:tblGrid>
      <w:tr w:rsidR="00A1721E" w:rsidTr="00A1721E">
        <w:trPr>
          <w:trHeight w:val="228"/>
        </w:trPr>
        <w:tc>
          <w:tcPr>
            <w:tcW w:w="5096" w:type="dxa"/>
            <w:tcBorders>
              <w:top w:val="nil"/>
              <w:left w:val="nil"/>
              <w:bottom w:val="nil"/>
              <w:right w:val="nil"/>
            </w:tcBorders>
            <w:shd w:val="clear" w:color="000000" w:fill="E6E6E6"/>
            <w:noWrap/>
            <w:vAlign w:val="bottom"/>
            <w:hideMark/>
          </w:tcPr>
          <w:p w:rsidR="00A1721E" w:rsidRDefault="00A1721E">
            <w:pPr>
              <w:jc w:val="center"/>
              <w:rPr>
                <w:rFonts w:ascii="Tahoma" w:hAnsi="Tahoma" w:cs="Tahoma"/>
                <w:b/>
                <w:bCs/>
                <w:sz w:val="18"/>
                <w:szCs w:val="18"/>
              </w:rPr>
            </w:pPr>
            <w:r>
              <w:rPr>
                <w:rFonts w:ascii="Tahoma" w:hAnsi="Tahoma" w:cs="Tahoma"/>
                <w:b/>
                <w:bCs/>
                <w:sz w:val="18"/>
                <w:szCs w:val="18"/>
              </w:rPr>
              <w:t> </w:t>
            </w:r>
          </w:p>
        </w:tc>
        <w:tc>
          <w:tcPr>
            <w:tcW w:w="3384" w:type="dxa"/>
            <w:gridSpan w:val="2"/>
            <w:tcBorders>
              <w:top w:val="nil"/>
              <w:left w:val="nil"/>
              <w:bottom w:val="nil"/>
              <w:right w:val="nil"/>
            </w:tcBorders>
            <w:shd w:val="clear" w:color="000000" w:fill="E6E6E6"/>
            <w:hideMark/>
          </w:tcPr>
          <w:p w:rsidR="00A1721E" w:rsidRDefault="00A1721E">
            <w:pPr>
              <w:jc w:val="center"/>
              <w:rPr>
                <w:rFonts w:ascii="Tahoma" w:hAnsi="Tahoma" w:cs="Tahoma"/>
                <w:b/>
                <w:bCs/>
                <w:sz w:val="18"/>
                <w:szCs w:val="18"/>
              </w:rPr>
            </w:pPr>
            <w:r>
              <w:rPr>
                <w:rFonts w:ascii="Tahoma" w:hAnsi="Tahoma" w:cs="Tahoma"/>
                <w:b/>
                <w:bCs/>
                <w:sz w:val="18"/>
                <w:szCs w:val="18"/>
              </w:rPr>
              <w:t>Εταιρεία</w:t>
            </w:r>
          </w:p>
        </w:tc>
      </w:tr>
      <w:tr w:rsidR="00A1721E" w:rsidTr="00A1721E">
        <w:trPr>
          <w:trHeight w:val="228"/>
        </w:trPr>
        <w:tc>
          <w:tcPr>
            <w:tcW w:w="5096" w:type="dxa"/>
            <w:tcBorders>
              <w:top w:val="nil"/>
              <w:left w:val="nil"/>
              <w:bottom w:val="nil"/>
              <w:right w:val="nil"/>
            </w:tcBorders>
            <w:shd w:val="clear" w:color="000000" w:fill="E6E6E6"/>
            <w:noWrap/>
            <w:vAlign w:val="bottom"/>
            <w:hideMark/>
          </w:tcPr>
          <w:p w:rsidR="00A1721E" w:rsidRDefault="00A1721E">
            <w:pPr>
              <w:jc w:val="center"/>
              <w:rPr>
                <w:rFonts w:ascii="Tahoma" w:hAnsi="Tahoma" w:cs="Tahoma"/>
                <w:b/>
                <w:bCs/>
                <w:sz w:val="18"/>
                <w:szCs w:val="18"/>
              </w:rPr>
            </w:pPr>
            <w:r>
              <w:rPr>
                <w:rFonts w:ascii="Tahoma" w:hAnsi="Tahoma" w:cs="Tahoma"/>
                <w:b/>
                <w:bCs/>
                <w:sz w:val="18"/>
                <w:szCs w:val="18"/>
              </w:rPr>
              <w:t>ΜΕΛΟΙ &amp; ΣΥΓΓΕΝΕΙΣ Δ.Σ.</w:t>
            </w:r>
          </w:p>
        </w:tc>
        <w:tc>
          <w:tcPr>
            <w:tcW w:w="1692" w:type="dxa"/>
            <w:tcBorders>
              <w:top w:val="nil"/>
              <w:left w:val="nil"/>
              <w:bottom w:val="nil"/>
              <w:right w:val="nil"/>
            </w:tcBorders>
            <w:shd w:val="clear" w:color="000000" w:fill="E6E6E6"/>
            <w:noWrap/>
            <w:vAlign w:val="bottom"/>
            <w:hideMark/>
          </w:tcPr>
          <w:p w:rsidR="00A1721E" w:rsidRDefault="00A1721E">
            <w:pPr>
              <w:jc w:val="center"/>
              <w:rPr>
                <w:rFonts w:ascii="Tahoma" w:hAnsi="Tahoma" w:cs="Tahoma"/>
                <w:b/>
                <w:bCs/>
                <w:sz w:val="18"/>
                <w:szCs w:val="18"/>
              </w:rPr>
            </w:pPr>
            <w:r>
              <w:rPr>
                <w:rFonts w:ascii="Tahoma" w:hAnsi="Tahoma" w:cs="Tahoma"/>
                <w:b/>
                <w:bCs/>
                <w:sz w:val="18"/>
                <w:szCs w:val="18"/>
              </w:rPr>
              <w:t>31.12.2018</w:t>
            </w:r>
          </w:p>
        </w:tc>
        <w:tc>
          <w:tcPr>
            <w:tcW w:w="1692" w:type="dxa"/>
            <w:tcBorders>
              <w:top w:val="nil"/>
              <w:left w:val="nil"/>
              <w:bottom w:val="nil"/>
              <w:right w:val="nil"/>
            </w:tcBorders>
            <w:shd w:val="clear" w:color="000000" w:fill="E6E6E6"/>
            <w:noWrap/>
            <w:vAlign w:val="bottom"/>
            <w:hideMark/>
          </w:tcPr>
          <w:p w:rsidR="00A1721E" w:rsidRDefault="00A1721E">
            <w:pPr>
              <w:jc w:val="center"/>
              <w:rPr>
                <w:rFonts w:ascii="Tahoma" w:hAnsi="Tahoma" w:cs="Tahoma"/>
                <w:b/>
                <w:bCs/>
                <w:sz w:val="18"/>
                <w:szCs w:val="18"/>
              </w:rPr>
            </w:pPr>
            <w:r>
              <w:rPr>
                <w:rFonts w:ascii="Tahoma" w:hAnsi="Tahoma" w:cs="Tahoma"/>
                <w:b/>
                <w:bCs/>
                <w:sz w:val="18"/>
                <w:szCs w:val="18"/>
              </w:rPr>
              <w:t>31.12.2017</w:t>
            </w:r>
          </w:p>
        </w:tc>
      </w:tr>
      <w:tr w:rsidR="00A1721E" w:rsidTr="00A1721E">
        <w:trPr>
          <w:trHeight w:val="360"/>
        </w:trPr>
        <w:tc>
          <w:tcPr>
            <w:tcW w:w="5096" w:type="dxa"/>
            <w:tcBorders>
              <w:top w:val="nil"/>
              <w:left w:val="nil"/>
              <w:bottom w:val="nil"/>
              <w:right w:val="nil"/>
            </w:tcBorders>
            <w:shd w:val="clear" w:color="auto" w:fill="auto"/>
            <w:noWrap/>
            <w:vAlign w:val="bottom"/>
            <w:hideMark/>
          </w:tcPr>
          <w:p w:rsidR="00A1721E" w:rsidRDefault="00A1721E">
            <w:pPr>
              <w:rPr>
                <w:rFonts w:ascii="Tahoma" w:hAnsi="Tahoma" w:cs="Tahoma"/>
                <w:b/>
                <w:bCs/>
                <w:color w:val="000000"/>
                <w:sz w:val="18"/>
                <w:szCs w:val="18"/>
              </w:rPr>
            </w:pPr>
            <w:r>
              <w:rPr>
                <w:rFonts w:ascii="Tahoma" w:hAnsi="Tahoma" w:cs="Tahoma"/>
                <w:b/>
                <w:bCs/>
                <w:color w:val="000000"/>
                <w:sz w:val="18"/>
                <w:szCs w:val="18"/>
              </w:rPr>
              <w:t>Βραχυπρόθεσμες παροχές :</w:t>
            </w:r>
          </w:p>
        </w:tc>
        <w:tc>
          <w:tcPr>
            <w:tcW w:w="1692" w:type="dxa"/>
            <w:tcBorders>
              <w:top w:val="nil"/>
              <w:left w:val="nil"/>
              <w:bottom w:val="nil"/>
              <w:right w:val="nil"/>
            </w:tcBorders>
            <w:shd w:val="clear" w:color="auto" w:fill="auto"/>
            <w:noWrap/>
            <w:vAlign w:val="bottom"/>
            <w:hideMark/>
          </w:tcPr>
          <w:p w:rsidR="00A1721E" w:rsidRDefault="00A1721E">
            <w:pPr>
              <w:rPr>
                <w:rFonts w:ascii="Tahoma" w:hAnsi="Tahoma" w:cs="Tahoma"/>
                <w:b/>
                <w:bCs/>
                <w:color w:val="000000"/>
                <w:sz w:val="18"/>
                <w:szCs w:val="18"/>
              </w:rPr>
            </w:pPr>
          </w:p>
        </w:tc>
        <w:tc>
          <w:tcPr>
            <w:tcW w:w="1692" w:type="dxa"/>
            <w:tcBorders>
              <w:top w:val="nil"/>
              <w:left w:val="nil"/>
              <w:bottom w:val="nil"/>
              <w:right w:val="nil"/>
            </w:tcBorders>
            <w:shd w:val="clear" w:color="auto" w:fill="auto"/>
            <w:noWrap/>
            <w:vAlign w:val="bottom"/>
            <w:hideMark/>
          </w:tcPr>
          <w:p w:rsidR="00A1721E" w:rsidRDefault="00A1721E">
            <w:pPr>
              <w:jc w:val="right"/>
              <w:rPr>
                <w:sz w:val="20"/>
                <w:szCs w:val="20"/>
              </w:rPr>
            </w:pPr>
          </w:p>
        </w:tc>
      </w:tr>
      <w:tr w:rsidR="00A1721E" w:rsidTr="00A1721E">
        <w:trPr>
          <w:trHeight w:val="360"/>
        </w:trPr>
        <w:tc>
          <w:tcPr>
            <w:tcW w:w="5096" w:type="dxa"/>
            <w:tcBorders>
              <w:top w:val="nil"/>
              <w:left w:val="nil"/>
              <w:bottom w:val="nil"/>
              <w:right w:val="nil"/>
            </w:tcBorders>
            <w:shd w:val="clear" w:color="auto" w:fill="auto"/>
            <w:noWrap/>
            <w:vAlign w:val="bottom"/>
            <w:hideMark/>
          </w:tcPr>
          <w:p w:rsidR="00A1721E" w:rsidRDefault="00A1721E">
            <w:pPr>
              <w:rPr>
                <w:rFonts w:ascii="Tahoma" w:hAnsi="Tahoma" w:cs="Tahoma"/>
                <w:color w:val="000000"/>
                <w:sz w:val="18"/>
                <w:szCs w:val="18"/>
              </w:rPr>
            </w:pPr>
            <w:r>
              <w:rPr>
                <w:rFonts w:ascii="Tahoma" w:hAnsi="Tahoma" w:cs="Tahoma"/>
                <w:color w:val="000000"/>
                <w:sz w:val="18"/>
                <w:szCs w:val="18"/>
              </w:rPr>
              <w:t>Μισθοί</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88.480,08</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56.147,46</w:t>
            </w:r>
          </w:p>
        </w:tc>
      </w:tr>
      <w:tr w:rsidR="00A1721E" w:rsidTr="00A1721E">
        <w:trPr>
          <w:trHeight w:val="360"/>
        </w:trPr>
        <w:tc>
          <w:tcPr>
            <w:tcW w:w="5096" w:type="dxa"/>
            <w:tcBorders>
              <w:top w:val="nil"/>
              <w:left w:val="nil"/>
              <w:bottom w:val="nil"/>
              <w:right w:val="nil"/>
            </w:tcBorders>
            <w:shd w:val="clear" w:color="auto" w:fill="auto"/>
            <w:noWrap/>
            <w:vAlign w:val="bottom"/>
            <w:hideMark/>
          </w:tcPr>
          <w:p w:rsidR="00A1721E" w:rsidRDefault="00A1721E">
            <w:pPr>
              <w:rPr>
                <w:rFonts w:ascii="Tahoma" w:hAnsi="Tahoma" w:cs="Tahoma"/>
                <w:color w:val="000000"/>
                <w:sz w:val="18"/>
                <w:szCs w:val="18"/>
              </w:rPr>
            </w:pPr>
            <w:r>
              <w:rPr>
                <w:rFonts w:ascii="Tahoma" w:hAnsi="Tahoma" w:cs="Tahoma"/>
                <w:color w:val="000000"/>
                <w:sz w:val="18"/>
                <w:szCs w:val="18"/>
              </w:rPr>
              <w:t xml:space="preserve">Κόστος κοινωνικής ασφάλισης </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23.594,00</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11.718,39</w:t>
            </w:r>
          </w:p>
        </w:tc>
      </w:tr>
      <w:tr w:rsidR="00A1721E" w:rsidTr="00A1721E">
        <w:trPr>
          <w:trHeight w:val="360"/>
        </w:trPr>
        <w:tc>
          <w:tcPr>
            <w:tcW w:w="5096" w:type="dxa"/>
            <w:tcBorders>
              <w:top w:val="nil"/>
              <w:left w:val="nil"/>
              <w:bottom w:val="nil"/>
              <w:right w:val="nil"/>
            </w:tcBorders>
            <w:shd w:val="clear" w:color="auto" w:fill="auto"/>
            <w:noWrap/>
            <w:vAlign w:val="bottom"/>
            <w:hideMark/>
          </w:tcPr>
          <w:p w:rsidR="00A1721E" w:rsidRDefault="00A1721E">
            <w:pPr>
              <w:rPr>
                <w:rFonts w:ascii="Tahoma" w:hAnsi="Tahoma" w:cs="Tahoma"/>
                <w:color w:val="000000"/>
                <w:sz w:val="18"/>
                <w:szCs w:val="18"/>
              </w:rPr>
            </w:pPr>
            <w:r>
              <w:rPr>
                <w:rFonts w:ascii="Tahoma" w:hAnsi="Tahoma" w:cs="Tahoma"/>
                <w:color w:val="000000"/>
                <w:sz w:val="18"/>
                <w:szCs w:val="18"/>
              </w:rPr>
              <w:t xml:space="preserve">Αμοιβές Μελών Δ.Σ. από κέρδη χρήσης </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0,00</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0,00</w:t>
            </w:r>
          </w:p>
        </w:tc>
      </w:tr>
      <w:tr w:rsidR="00A1721E" w:rsidTr="00A1721E">
        <w:trPr>
          <w:trHeight w:val="360"/>
        </w:trPr>
        <w:tc>
          <w:tcPr>
            <w:tcW w:w="5096" w:type="dxa"/>
            <w:tcBorders>
              <w:top w:val="nil"/>
              <w:left w:val="nil"/>
              <w:bottom w:val="nil"/>
              <w:right w:val="nil"/>
            </w:tcBorders>
            <w:shd w:val="clear" w:color="auto" w:fill="auto"/>
            <w:noWrap/>
            <w:vAlign w:val="bottom"/>
            <w:hideMark/>
          </w:tcPr>
          <w:p w:rsidR="00A1721E" w:rsidRDefault="00A1721E">
            <w:pPr>
              <w:rPr>
                <w:rFonts w:ascii="Tahoma" w:hAnsi="Tahoma" w:cs="Tahoma"/>
                <w:color w:val="000000"/>
                <w:sz w:val="18"/>
                <w:szCs w:val="18"/>
              </w:rPr>
            </w:pPr>
            <w:r>
              <w:rPr>
                <w:rFonts w:ascii="Tahoma" w:hAnsi="Tahoma" w:cs="Tahoma"/>
                <w:color w:val="000000"/>
                <w:sz w:val="18"/>
                <w:szCs w:val="18"/>
              </w:rPr>
              <w:t>Πρόσθετες παροχές</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0,00</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0,00</w:t>
            </w:r>
          </w:p>
        </w:tc>
      </w:tr>
      <w:tr w:rsidR="00A1721E" w:rsidTr="00A1721E">
        <w:trPr>
          <w:trHeight w:val="360"/>
        </w:trPr>
        <w:tc>
          <w:tcPr>
            <w:tcW w:w="5096" w:type="dxa"/>
            <w:tcBorders>
              <w:top w:val="nil"/>
              <w:left w:val="nil"/>
              <w:bottom w:val="nil"/>
              <w:right w:val="nil"/>
            </w:tcBorders>
            <w:shd w:val="clear" w:color="auto" w:fill="auto"/>
            <w:noWrap/>
            <w:vAlign w:val="bottom"/>
            <w:hideMark/>
          </w:tcPr>
          <w:p w:rsidR="00A1721E" w:rsidRDefault="00A1721E">
            <w:pPr>
              <w:rPr>
                <w:rFonts w:ascii="Tahoma" w:hAnsi="Tahoma" w:cs="Tahoma"/>
                <w:color w:val="000000"/>
                <w:sz w:val="18"/>
                <w:szCs w:val="18"/>
              </w:rPr>
            </w:pPr>
            <w:r>
              <w:rPr>
                <w:rFonts w:ascii="Tahoma" w:hAnsi="Tahoma" w:cs="Tahoma"/>
                <w:color w:val="000000"/>
                <w:sz w:val="18"/>
                <w:szCs w:val="18"/>
              </w:rPr>
              <w:t>Λοιπές συναλλαγές</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0,00</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0,00</w:t>
            </w:r>
          </w:p>
        </w:tc>
      </w:tr>
      <w:tr w:rsidR="00A1721E" w:rsidTr="00A1721E">
        <w:trPr>
          <w:trHeight w:val="360"/>
        </w:trPr>
        <w:tc>
          <w:tcPr>
            <w:tcW w:w="5096" w:type="dxa"/>
            <w:tcBorders>
              <w:top w:val="nil"/>
              <w:left w:val="nil"/>
              <w:bottom w:val="nil"/>
              <w:right w:val="nil"/>
            </w:tcBorders>
            <w:shd w:val="clear" w:color="auto" w:fill="auto"/>
            <w:noWrap/>
            <w:vAlign w:val="bottom"/>
            <w:hideMark/>
          </w:tcPr>
          <w:p w:rsidR="00A1721E" w:rsidRDefault="00A1721E">
            <w:pPr>
              <w:rPr>
                <w:rFonts w:ascii="Tahoma" w:hAnsi="Tahoma" w:cs="Tahoma"/>
                <w:b/>
                <w:bCs/>
                <w:color w:val="000000"/>
                <w:sz w:val="18"/>
                <w:szCs w:val="18"/>
              </w:rPr>
            </w:pPr>
            <w:r>
              <w:rPr>
                <w:rFonts w:ascii="Tahoma" w:hAnsi="Tahoma" w:cs="Tahoma"/>
                <w:b/>
                <w:bCs/>
                <w:color w:val="000000"/>
                <w:sz w:val="18"/>
                <w:szCs w:val="18"/>
              </w:rPr>
              <w:t>Μακροπρόθεσμες παροχές:</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Δεν υπάρχουν</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Δεν υπάρχουν</w:t>
            </w:r>
          </w:p>
        </w:tc>
      </w:tr>
      <w:tr w:rsidR="00A1721E" w:rsidTr="00A1721E">
        <w:trPr>
          <w:trHeight w:val="360"/>
        </w:trPr>
        <w:tc>
          <w:tcPr>
            <w:tcW w:w="5096" w:type="dxa"/>
            <w:tcBorders>
              <w:top w:val="nil"/>
              <w:left w:val="nil"/>
              <w:bottom w:val="nil"/>
              <w:right w:val="nil"/>
            </w:tcBorders>
            <w:shd w:val="clear" w:color="auto" w:fill="auto"/>
            <w:noWrap/>
            <w:vAlign w:val="bottom"/>
            <w:hideMark/>
          </w:tcPr>
          <w:p w:rsidR="00A1721E" w:rsidRDefault="00A1721E">
            <w:pPr>
              <w:rPr>
                <w:rFonts w:ascii="Tahoma" w:hAnsi="Tahoma" w:cs="Tahoma"/>
                <w:b/>
                <w:bCs/>
                <w:color w:val="000000"/>
                <w:sz w:val="18"/>
                <w:szCs w:val="18"/>
              </w:rPr>
            </w:pPr>
            <w:r>
              <w:rPr>
                <w:rFonts w:ascii="Tahoma" w:hAnsi="Tahoma" w:cs="Tahoma"/>
                <w:b/>
                <w:bCs/>
                <w:color w:val="000000"/>
                <w:sz w:val="18"/>
                <w:szCs w:val="18"/>
              </w:rPr>
              <w:t xml:space="preserve"> Παροχές μετά την έξοδο από την υπηρεσία:</w:t>
            </w:r>
          </w:p>
        </w:tc>
        <w:tc>
          <w:tcPr>
            <w:tcW w:w="1692" w:type="dxa"/>
            <w:tcBorders>
              <w:top w:val="nil"/>
              <w:left w:val="nil"/>
              <w:bottom w:val="nil"/>
              <w:right w:val="nil"/>
            </w:tcBorders>
            <w:shd w:val="clear" w:color="auto" w:fill="auto"/>
            <w:noWrap/>
            <w:vAlign w:val="bottom"/>
            <w:hideMark/>
          </w:tcPr>
          <w:p w:rsidR="00A1721E" w:rsidRDefault="00A1721E">
            <w:pPr>
              <w:rPr>
                <w:rFonts w:ascii="Tahoma" w:hAnsi="Tahoma" w:cs="Tahoma"/>
                <w:b/>
                <w:bCs/>
                <w:color w:val="000000"/>
                <w:sz w:val="18"/>
                <w:szCs w:val="18"/>
              </w:rPr>
            </w:pPr>
          </w:p>
        </w:tc>
        <w:tc>
          <w:tcPr>
            <w:tcW w:w="1692" w:type="dxa"/>
            <w:tcBorders>
              <w:top w:val="nil"/>
              <w:left w:val="nil"/>
              <w:bottom w:val="nil"/>
              <w:right w:val="nil"/>
            </w:tcBorders>
            <w:shd w:val="clear" w:color="auto" w:fill="auto"/>
            <w:noWrap/>
            <w:vAlign w:val="bottom"/>
            <w:hideMark/>
          </w:tcPr>
          <w:p w:rsidR="00A1721E" w:rsidRDefault="00A1721E">
            <w:pPr>
              <w:jc w:val="right"/>
              <w:rPr>
                <w:sz w:val="20"/>
                <w:szCs w:val="20"/>
              </w:rPr>
            </w:pPr>
          </w:p>
        </w:tc>
      </w:tr>
      <w:tr w:rsidR="00A1721E" w:rsidTr="00A1721E">
        <w:trPr>
          <w:trHeight w:val="360"/>
        </w:trPr>
        <w:tc>
          <w:tcPr>
            <w:tcW w:w="5096" w:type="dxa"/>
            <w:tcBorders>
              <w:top w:val="nil"/>
              <w:left w:val="nil"/>
              <w:bottom w:val="nil"/>
              <w:right w:val="nil"/>
            </w:tcBorders>
            <w:shd w:val="clear" w:color="auto" w:fill="auto"/>
            <w:noWrap/>
            <w:vAlign w:val="bottom"/>
            <w:hideMark/>
          </w:tcPr>
          <w:p w:rsidR="00A1721E" w:rsidRDefault="00A1721E">
            <w:pPr>
              <w:rPr>
                <w:rFonts w:ascii="Tahoma" w:hAnsi="Tahoma" w:cs="Tahoma"/>
                <w:color w:val="000000"/>
                <w:sz w:val="18"/>
                <w:szCs w:val="18"/>
              </w:rPr>
            </w:pPr>
            <w:r>
              <w:rPr>
                <w:rFonts w:ascii="Tahoma" w:hAnsi="Tahoma" w:cs="Tahoma"/>
                <w:color w:val="000000"/>
                <w:sz w:val="18"/>
                <w:szCs w:val="18"/>
              </w:rPr>
              <w:t>Αποζημιώσεις σύνταξης</w:t>
            </w:r>
          </w:p>
        </w:tc>
        <w:tc>
          <w:tcPr>
            <w:tcW w:w="1692" w:type="dxa"/>
            <w:tcBorders>
              <w:top w:val="nil"/>
              <w:left w:val="nil"/>
              <w:bottom w:val="nil"/>
              <w:right w:val="nil"/>
            </w:tcBorders>
            <w:shd w:val="clear" w:color="auto" w:fill="auto"/>
            <w:noWrap/>
            <w:vAlign w:val="bottom"/>
            <w:hideMark/>
          </w:tcPr>
          <w:p w:rsidR="00A1721E" w:rsidRDefault="00A1721E">
            <w:pPr>
              <w:jc w:val="center"/>
              <w:rPr>
                <w:rFonts w:ascii="Tahoma" w:hAnsi="Tahoma" w:cs="Tahoma"/>
                <w:color w:val="000000"/>
                <w:sz w:val="18"/>
                <w:szCs w:val="18"/>
              </w:rPr>
            </w:pPr>
            <w:r>
              <w:rPr>
                <w:rFonts w:ascii="Tahoma" w:hAnsi="Tahoma" w:cs="Tahoma"/>
                <w:color w:val="000000"/>
                <w:sz w:val="18"/>
                <w:szCs w:val="18"/>
              </w:rPr>
              <w:t>-</w:t>
            </w:r>
          </w:p>
        </w:tc>
        <w:tc>
          <w:tcPr>
            <w:tcW w:w="1692" w:type="dxa"/>
            <w:tcBorders>
              <w:top w:val="nil"/>
              <w:left w:val="nil"/>
              <w:bottom w:val="nil"/>
              <w:right w:val="nil"/>
            </w:tcBorders>
            <w:shd w:val="clear" w:color="auto" w:fill="auto"/>
            <w:noWrap/>
            <w:vAlign w:val="bottom"/>
            <w:hideMark/>
          </w:tcPr>
          <w:p w:rsidR="00A1721E" w:rsidRDefault="00A1721E">
            <w:pPr>
              <w:jc w:val="center"/>
              <w:rPr>
                <w:rFonts w:ascii="Tahoma" w:hAnsi="Tahoma" w:cs="Tahoma"/>
                <w:color w:val="000000"/>
                <w:sz w:val="18"/>
                <w:szCs w:val="18"/>
              </w:rPr>
            </w:pPr>
            <w:r>
              <w:rPr>
                <w:rFonts w:ascii="Tahoma" w:hAnsi="Tahoma" w:cs="Tahoma"/>
                <w:color w:val="000000"/>
                <w:sz w:val="18"/>
                <w:szCs w:val="18"/>
              </w:rPr>
              <w:t>-</w:t>
            </w:r>
          </w:p>
        </w:tc>
      </w:tr>
      <w:tr w:rsidR="00A1721E" w:rsidTr="00A1721E">
        <w:trPr>
          <w:trHeight w:val="360"/>
        </w:trPr>
        <w:tc>
          <w:tcPr>
            <w:tcW w:w="5096" w:type="dxa"/>
            <w:tcBorders>
              <w:top w:val="nil"/>
              <w:left w:val="nil"/>
              <w:bottom w:val="nil"/>
              <w:right w:val="nil"/>
            </w:tcBorders>
            <w:shd w:val="clear" w:color="auto" w:fill="auto"/>
            <w:noWrap/>
            <w:vAlign w:val="bottom"/>
            <w:hideMark/>
          </w:tcPr>
          <w:p w:rsidR="00A1721E" w:rsidRDefault="00A1721E">
            <w:pPr>
              <w:rPr>
                <w:rFonts w:ascii="Tahoma" w:hAnsi="Tahoma" w:cs="Tahoma"/>
                <w:b/>
                <w:bCs/>
                <w:color w:val="000000"/>
                <w:sz w:val="18"/>
                <w:szCs w:val="18"/>
              </w:rPr>
            </w:pPr>
            <w:r>
              <w:rPr>
                <w:rFonts w:ascii="Tahoma" w:hAnsi="Tahoma" w:cs="Tahoma"/>
                <w:b/>
                <w:bCs/>
                <w:color w:val="000000"/>
                <w:sz w:val="18"/>
                <w:szCs w:val="18"/>
              </w:rPr>
              <w:t>Παροχές που εξαρτώνται από την αξία των μετοχών:</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Δεν υπάρχουν</w:t>
            </w:r>
          </w:p>
        </w:tc>
        <w:tc>
          <w:tcPr>
            <w:tcW w:w="1692" w:type="dxa"/>
            <w:tcBorders>
              <w:top w:val="nil"/>
              <w:left w:val="nil"/>
              <w:bottom w:val="nil"/>
              <w:right w:val="nil"/>
            </w:tcBorders>
            <w:shd w:val="clear" w:color="auto" w:fill="auto"/>
            <w:noWrap/>
            <w:vAlign w:val="bottom"/>
            <w:hideMark/>
          </w:tcPr>
          <w:p w:rsidR="00A1721E" w:rsidRDefault="00A1721E">
            <w:pPr>
              <w:jc w:val="right"/>
              <w:rPr>
                <w:rFonts w:ascii="Tahoma" w:hAnsi="Tahoma" w:cs="Tahoma"/>
                <w:color w:val="000000"/>
                <w:sz w:val="18"/>
                <w:szCs w:val="18"/>
              </w:rPr>
            </w:pPr>
            <w:r>
              <w:rPr>
                <w:rFonts w:ascii="Tahoma" w:hAnsi="Tahoma" w:cs="Tahoma"/>
                <w:color w:val="000000"/>
                <w:sz w:val="18"/>
                <w:szCs w:val="18"/>
              </w:rPr>
              <w:t>Δεν υπάρχουν</w:t>
            </w:r>
          </w:p>
        </w:tc>
      </w:tr>
    </w:tbl>
    <w:p w:rsidR="004A7C69" w:rsidRDefault="004A7C69" w:rsidP="004A7C69">
      <w:pPr>
        <w:spacing w:line="360" w:lineRule="auto"/>
        <w:jc w:val="both"/>
        <w:rPr>
          <w:rFonts w:ascii="Tahoma" w:hAnsi="Tahoma" w:cs="Tahoma"/>
          <w:sz w:val="22"/>
          <w:szCs w:val="22"/>
          <w:lang w:val="en-US"/>
        </w:rPr>
      </w:pPr>
    </w:p>
    <w:p w:rsidR="004A7C69" w:rsidRPr="00485A4C" w:rsidRDefault="004A7C69" w:rsidP="0047500B">
      <w:pPr>
        <w:spacing w:line="360" w:lineRule="auto"/>
        <w:ind w:left="-540"/>
        <w:jc w:val="both"/>
        <w:rPr>
          <w:rFonts w:ascii="Tahoma" w:hAnsi="Tahoma" w:cs="Tahoma"/>
          <w:sz w:val="22"/>
          <w:szCs w:val="22"/>
          <w:highlight w:val="red"/>
        </w:rPr>
      </w:pPr>
    </w:p>
    <w:p w:rsidR="00DC26FA" w:rsidRPr="00485A4C" w:rsidRDefault="00B74DFC" w:rsidP="0047500B">
      <w:pPr>
        <w:spacing w:line="360" w:lineRule="auto"/>
        <w:ind w:left="-540"/>
        <w:jc w:val="both"/>
        <w:rPr>
          <w:rFonts w:ascii="Tahoma" w:hAnsi="Tahoma" w:cs="Tahoma"/>
          <w:sz w:val="22"/>
          <w:szCs w:val="22"/>
        </w:rPr>
      </w:pPr>
      <w:r w:rsidRPr="00485A4C">
        <w:rPr>
          <w:rFonts w:ascii="Tahoma" w:hAnsi="Tahoma" w:cs="Tahoma"/>
          <w:sz w:val="22"/>
          <w:szCs w:val="22"/>
        </w:rPr>
        <w:t xml:space="preserve">Υπάρχουν υποχρεώσεις προς τα μέλη της Διοίκησης και συγγενικά τους πρόσωπα ποσού € </w:t>
      </w:r>
      <w:r w:rsidR="003F3381" w:rsidRPr="00485A4C">
        <w:rPr>
          <w:rFonts w:ascii="Tahoma" w:hAnsi="Tahoma" w:cs="Tahoma"/>
          <w:sz w:val="22"/>
          <w:szCs w:val="22"/>
        </w:rPr>
        <w:t>1.064,71</w:t>
      </w:r>
      <w:r w:rsidRPr="00485A4C">
        <w:rPr>
          <w:rFonts w:ascii="Tahoma" w:hAnsi="Tahoma" w:cs="Tahoma"/>
          <w:sz w:val="22"/>
          <w:szCs w:val="22"/>
        </w:rPr>
        <w:t>.</w:t>
      </w:r>
    </w:p>
    <w:p w:rsidR="00DC26FA" w:rsidRPr="00485A4C" w:rsidRDefault="00DC26FA" w:rsidP="005F1770">
      <w:pPr>
        <w:ind w:hanging="540"/>
        <w:jc w:val="both"/>
        <w:rPr>
          <w:rFonts w:ascii="Tahoma" w:hAnsi="Tahoma" w:cs="Tahoma"/>
          <w:b/>
          <w:sz w:val="22"/>
          <w:szCs w:val="22"/>
          <w:highlight w:val="yellow"/>
        </w:rPr>
      </w:pPr>
    </w:p>
    <w:p w:rsidR="00DC26FA" w:rsidRPr="00485A4C" w:rsidRDefault="00DC26FA" w:rsidP="00DC26FA">
      <w:pPr>
        <w:ind w:hanging="540"/>
        <w:jc w:val="both"/>
        <w:rPr>
          <w:rFonts w:ascii="Tahoma" w:hAnsi="Tahoma" w:cs="Tahoma"/>
          <w:b/>
          <w:sz w:val="22"/>
          <w:szCs w:val="22"/>
        </w:rPr>
      </w:pPr>
      <w:r w:rsidRPr="00485A4C">
        <w:rPr>
          <w:rFonts w:ascii="Tahoma" w:hAnsi="Tahoma" w:cs="Tahoma"/>
          <w:b/>
          <w:sz w:val="22"/>
          <w:szCs w:val="22"/>
        </w:rPr>
        <w:t>6. ΜΕΡΙΣΜΑΤΙΚΗ ΠΟΛΙΤΙΚΗ</w:t>
      </w:r>
    </w:p>
    <w:p w:rsidR="00DC26FA" w:rsidRPr="00485A4C" w:rsidRDefault="00DC26FA" w:rsidP="00DC26FA">
      <w:pPr>
        <w:jc w:val="both"/>
        <w:rPr>
          <w:rFonts w:ascii="Tahoma" w:hAnsi="Tahoma" w:cs="Tahoma"/>
          <w:b/>
          <w:bCs/>
          <w:iCs/>
          <w:sz w:val="22"/>
          <w:szCs w:val="22"/>
        </w:rPr>
      </w:pPr>
    </w:p>
    <w:p w:rsidR="0047500B" w:rsidRPr="00485A4C" w:rsidRDefault="0047500B" w:rsidP="0047500B">
      <w:pPr>
        <w:autoSpaceDE w:val="0"/>
        <w:autoSpaceDN w:val="0"/>
        <w:adjustRightInd w:val="0"/>
        <w:spacing w:line="360" w:lineRule="auto"/>
        <w:ind w:left="-539"/>
        <w:jc w:val="both"/>
        <w:rPr>
          <w:rFonts w:ascii="Tahoma" w:hAnsi="Tahoma" w:cs="Tahoma"/>
          <w:sz w:val="22"/>
          <w:szCs w:val="22"/>
        </w:rPr>
      </w:pPr>
      <w:r w:rsidRPr="00485A4C">
        <w:rPr>
          <w:rFonts w:ascii="Tahoma" w:hAnsi="Tahoma" w:cs="Tahoma"/>
          <w:sz w:val="22"/>
          <w:szCs w:val="22"/>
        </w:rPr>
        <w:t xml:space="preserve">Τα βασικά κέρδη ανά μετοχή υπολογίζονται με διαίρεση του κέρδους που αναλογεί στους μετόχους της εταιρείας με τον συνολικό αριθμό των κοινών μετοχών που είναι σε κυκλοφορία. </w:t>
      </w:r>
    </w:p>
    <w:p w:rsidR="0047500B" w:rsidRPr="00485A4C" w:rsidRDefault="0047500B" w:rsidP="0047500B">
      <w:pPr>
        <w:spacing w:line="360" w:lineRule="auto"/>
        <w:ind w:left="-540"/>
        <w:rPr>
          <w:rFonts w:ascii="Tahoma" w:hAnsi="Tahoma" w:cs="Tahoma"/>
          <w:sz w:val="22"/>
          <w:szCs w:val="22"/>
        </w:rPr>
      </w:pPr>
      <w:r w:rsidRPr="00485A4C">
        <w:rPr>
          <w:rFonts w:ascii="Tahoma" w:hAnsi="Tahoma" w:cs="Tahoma"/>
          <w:sz w:val="22"/>
          <w:szCs w:val="22"/>
        </w:rPr>
        <w:t>Τα αποτελέσματα ανά μετοχή αναλύονται ως εξής:</w:t>
      </w:r>
    </w:p>
    <w:p w:rsidR="0047500B" w:rsidRDefault="0047500B" w:rsidP="0047500B">
      <w:pPr>
        <w:spacing w:line="360" w:lineRule="auto"/>
        <w:ind w:left="-426"/>
        <w:rPr>
          <w:rFonts w:ascii="Tahoma" w:hAnsi="Tahoma" w:cs="Tahoma"/>
          <w:sz w:val="22"/>
          <w:szCs w:val="22"/>
          <w:lang w:val="en-US"/>
        </w:rPr>
      </w:pPr>
    </w:p>
    <w:tbl>
      <w:tblPr>
        <w:tblW w:w="8290" w:type="dxa"/>
        <w:tblLook w:val="04A0" w:firstRow="1" w:lastRow="0" w:firstColumn="1" w:lastColumn="0" w:noHBand="0" w:noVBand="1"/>
      </w:tblPr>
      <w:tblGrid>
        <w:gridCol w:w="4678"/>
        <w:gridCol w:w="1816"/>
        <w:gridCol w:w="1796"/>
      </w:tblGrid>
      <w:tr w:rsidR="004A7C69" w:rsidTr="004A7C69">
        <w:trPr>
          <w:trHeight w:val="264"/>
        </w:trPr>
        <w:tc>
          <w:tcPr>
            <w:tcW w:w="4678" w:type="dxa"/>
            <w:tcBorders>
              <w:top w:val="nil"/>
              <w:left w:val="nil"/>
              <w:bottom w:val="nil"/>
              <w:right w:val="nil"/>
            </w:tcBorders>
            <w:shd w:val="clear" w:color="000000" w:fill="E6E6E6"/>
            <w:noWrap/>
            <w:vAlign w:val="bottom"/>
            <w:hideMark/>
          </w:tcPr>
          <w:p w:rsidR="004A7C69" w:rsidRDefault="004A7C69">
            <w:pPr>
              <w:rPr>
                <w:rFonts w:ascii="Tahoma" w:hAnsi="Tahoma" w:cs="Tahoma"/>
                <w:b/>
                <w:bCs/>
                <w:sz w:val="18"/>
                <w:szCs w:val="18"/>
              </w:rPr>
            </w:pPr>
            <w:r>
              <w:rPr>
                <w:rFonts w:ascii="Tahoma" w:hAnsi="Tahoma" w:cs="Tahoma"/>
                <w:b/>
                <w:bCs/>
                <w:sz w:val="18"/>
                <w:szCs w:val="18"/>
              </w:rPr>
              <w:t> </w:t>
            </w:r>
          </w:p>
        </w:tc>
        <w:tc>
          <w:tcPr>
            <w:tcW w:w="1816" w:type="dxa"/>
            <w:tcBorders>
              <w:top w:val="nil"/>
              <w:left w:val="nil"/>
              <w:bottom w:val="nil"/>
              <w:right w:val="nil"/>
            </w:tcBorders>
            <w:shd w:val="clear" w:color="000000" w:fill="E6E6E6"/>
            <w:noWrap/>
            <w:vAlign w:val="bottom"/>
            <w:hideMark/>
          </w:tcPr>
          <w:p w:rsidR="004A7C69" w:rsidRDefault="004A7C69">
            <w:pPr>
              <w:jc w:val="center"/>
              <w:rPr>
                <w:rFonts w:ascii="Tahoma" w:hAnsi="Tahoma" w:cs="Tahoma"/>
                <w:b/>
                <w:bCs/>
                <w:sz w:val="18"/>
                <w:szCs w:val="18"/>
              </w:rPr>
            </w:pPr>
            <w:r>
              <w:rPr>
                <w:rFonts w:ascii="Tahoma" w:hAnsi="Tahoma" w:cs="Tahoma"/>
                <w:b/>
                <w:bCs/>
                <w:sz w:val="18"/>
                <w:szCs w:val="18"/>
              </w:rPr>
              <w:t>31.12.2018</w:t>
            </w:r>
          </w:p>
        </w:tc>
        <w:tc>
          <w:tcPr>
            <w:tcW w:w="1796" w:type="dxa"/>
            <w:tcBorders>
              <w:top w:val="nil"/>
              <w:left w:val="nil"/>
              <w:bottom w:val="nil"/>
              <w:right w:val="nil"/>
            </w:tcBorders>
            <w:shd w:val="clear" w:color="000000" w:fill="E6E6E6"/>
            <w:noWrap/>
            <w:vAlign w:val="bottom"/>
            <w:hideMark/>
          </w:tcPr>
          <w:p w:rsidR="004A7C69" w:rsidRDefault="004A7C69">
            <w:pPr>
              <w:jc w:val="center"/>
              <w:rPr>
                <w:rFonts w:ascii="Tahoma" w:hAnsi="Tahoma" w:cs="Tahoma"/>
                <w:b/>
                <w:bCs/>
                <w:sz w:val="18"/>
                <w:szCs w:val="18"/>
              </w:rPr>
            </w:pPr>
            <w:r>
              <w:rPr>
                <w:rFonts w:ascii="Tahoma" w:hAnsi="Tahoma" w:cs="Tahoma"/>
                <w:b/>
                <w:bCs/>
                <w:sz w:val="18"/>
                <w:szCs w:val="18"/>
              </w:rPr>
              <w:t>31.12.2017</w:t>
            </w:r>
          </w:p>
        </w:tc>
      </w:tr>
      <w:tr w:rsidR="004A7C69" w:rsidTr="004A7C69">
        <w:trPr>
          <w:trHeight w:val="360"/>
        </w:trPr>
        <w:tc>
          <w:tcPr>
            <w:tcW w:w="4678" w:type="dxa"/>
            <w:tcBorders>
              <w:top w:val="nil"/>
              <w:left w:val="nil"/>
              <w:bottom w:val="nil"/>
              <w:right w:val="nil"/>
            </w:tcBorders>
            <w:shd w:val="clear" w:color="auto" w:fill="auto"/>
            <w:noWrap/>
            <w:vAlign w:val="bottom"/>
            <w:hideMark/>
          </w:tcPr>
          <w:p w:rsidR="004A7C69" w:rsidRDefault="004A7C69">
            <w:pPr>
              <w:rPr>
                <w:rFonts w:ascii="Tahoma" w:hAnsi="Tahoma" w:cs="Tahoma"/>
                <w:color w:val="000000"/>
                <w:sz w:val="18"/>
                <w:szCs w:val="18"/>
              </w:rPr>
            </w:pPr>
            <w:r>
              <w:rPr>
                <w:rFonts w:ascii="Tahoma" w:hAnsi="Tahoma" w:cs="Tahoma"/>
                <w:color w:val="000000"/>
                <w:sz w:val="18"/>
                <w:szCs w:val="18"/>
              </w:rPr>
              <w:t>Κέρδη που αναλογούν στους μετόχους της μητρικής</w:t>
            </w:r>
          </w:p>
        </w:tc>
        <w:tc>
          <w:tcPr>
            <w:tcW w:w="1816" w:type="dxa"/>
            <w:tcBorders>
              <w:top w:val="nil"/>
              <w:left w:val="nil"/>
              <w:bottom w:val="nil"/>
              <w:right w:val="nil"/>
            </w:tcBorders>
            <w:shd w:val="clear" w:color="auto" w:fill="auto"/>
            <w:noWrap/>
            <w:vAlign w:val="bottom"/>
            <w:hideMark/>
          </w:tcPr>
          <w:p w:rsidR="004A7C69" w:rsidRDefault="004A7C69" w:rsidP="004A7C69">
            <w:pPr>
              <w:jc w:val="right"/>
              <w:rPr>
                <w:rFonts w:ascii="Tahoma" w:hAnsi="Tahoma" w:cs="Tahoma"/>
                <w:sz w:val="18"/>
                <w:szCs w:val="18"/>
              </w:rPr>
            </w:pPr>
            <w:r>
              <w:rPr>
                <w:rFonts w:ascii="Tahoma" w:hAnsi="Tahoma" w:cs="Tahoma"/>
                <w:sz w:val="18"/>
                <w:szCs w:val="18"/>
              </w:rPr>
              <w:t xml:space="preserve">             372.710,45 </w:t>
            </w:r>
          </w:p>
        </w:tc>
        <w:tc>
          <w:tcPr>
            <w:tcW w:w="1796" w:type="dxa"/>
            <w:tcBorders>
              <w:top w:val="nil"/>
              <w:left w:val="nil"/>
              <w:bottom w:val="nil"/>
              <w:right w:val="nil"/>
            </w:tcBorders>
            <w:shd w:val="clear" w:color="auto" w:fill="auto"/>
            <w:noWrap/>
            <w:vAlign w:val="bottom"/>
            <w:hideMark/>
          </w:tcPr>
          <w:p w:rsidR="004A7C69" w:rsidRDefault="004A7C69" w:rsidP="004A7C69">
            <w:pPr>
              <w:jc w:val="right"/>
              <w:rPr>
                <w:rFonts w:ascii="Tahoma" w:hAnsi="Tahoma" w:cs="Tahoma"/>
                <w:sz w:val="18"/>
                <w:szCs w:val="18"/>
              </w:rPr>
            </w:pPr>
            <w:r>
              <w:rPr>
                <w:rFonts w:ascii="Tahoma" w:hAnsi="Tahoma" w:cs="Tahoma"/>
                <w:sz w:val="18"/>
                <w:szCs w:val="18"/>
              </w:rPr>
              <w:t xml:space="preserve">             475.515,50 </w:t>
            </w:r>
          </w:p>
        </w:tc>
      </w:tr>
      <w:tr w:rsidR="004A7C69" w:rsidTr="004A7C69">
        <w:trPr>
          <w:trHeight w:val="360"/>
        </w:trPr>
        <w:tc>
          <w:tcPr>
            <w:tcW w:w="4678" w:type="dxa"/>
            <w:tcBorders>
              <w:top w:val="nil"/>
              <w:left w:val="nil"/>
              <w:bottom w:val="nil"/>
              <w:right w:val="nil"/>
            </w:tcBorders>
            <w:shd w:val="clear" w:color="auto" w:fill="auto"/>
            <w:vAlign w:val="bottom"/>
            <w:hideMark/>
          </w:tcPr>
          <w:p w:rsidR="004A7C69" w:rsidRDefault="004A7C69">
            <w:pPr>
              <w:rPr>
                <w:rFonts w:ascii="Tahoma" w:hAnsi="Tahoma" w:cs="Tahoma"/>
                <w:color w:val="000000"/>
                <w:sz w:val="18"/>
                <w:szCs w:val="18"/>
              </w:rPr>
            </w:pPr>
            <w:r>
              <w:rPr>
                <w:rFonts w:ascii="Tahoma" w:hAnsi="Tahoma" w:cs="Tahoma"/>
                <w:color w:val="000000"/>
                <w:sz w:val="18"/>
                <w:szCs w:val="18"/>
              </w:rPr>
              <w:t>Σταθμισμένος μέσος όρος μετοχών</w:t>
            </w:r>
          </w:p>
        </w:tc>
        <w:tc>
          <w:tcPr>
            <w:tcW w:w="1816" w:type="dxa"/>
            <w:tcBorders>
              <w:top w:val="nil"/>
              <w:left w:val="nil"/>
              <w:bottom w:val="nil"/>
              <w:right w:val="nil"/>
            </w:tcBorders>
            <w:shd w:val="clear" w:color="auto" w:fill="auto"/>
            <w:noWrap/>
            <w:vAlign w:val="bottom"/>
            <w:hideMark/>
          </w:tcPr>
          <w:p w:rsidR="004A7C69" w:rsidRDefault="004A7C69" w:rsidP="004A7C69">
            <w:pPr>
              <w:jc w:val="right"/>
              <w:rPr>
                <w:rFonts w:ascii="Tahoma" w:hAnsi="Tahoma" w:cs="Tahoma"/>
                <w:sz w:val="18"/>
                <w:szCs w:val="18"/>
              </w:rPr>
            </w:pPr>
            <w:r>
              <w:rPr>
                <w:rFonts w:ascii="Tahoma" w:hAnsi="Tahoma" w:cs="Tahoma"/>
                <w:sz w:val="18"/>
                <w:szCs w:val="18"/>
              </w:rPr>
              <w:t xml:space="preserve">              61.000,00 </w:t>
            </w:r>
          </w:p>
        </w:tc>
        <w:tc>
          <w:tcPr>
            <w:tcW w:w="1796" w:type="dxa"/>
            <w:tcBorders>
              <w:top w:val="nil"/>
              <w:left w:val="nil"/>
              <w:bottom w:val="nil"/>
              <w:right w:val="nil"/>
            </w:tcBorders>
            <w:shd w:val="clear" w:color="auto" w:fill="auto"/>
            <w:noWrap/>
            <w:vAlign w:val="bottom"/>
            <w:hideMark/>
          </w:tcPr>
          <w:p w:rsidR="004A7C69" w:rsidRDefault="004A7C69" w:rsidP="004A7C69">
            <w:pPr>
              <w:jc w:val="right"/>
              <w:rPr>
                <w:rFonts w:ascii="Tahoma" w:hAnsi="Tahoma" w:cs="Tahoma"/>
                <w:sz w:val="18"/>
                <w:szCs w:val="18"/>
              </w:rPr>
            </w:pPr>
            <w:r>
              <w:rPr>
                <w:rFonts w:ascii="Tahoma" w:hAnsi="Tahoma" w:cs="Tahoma"/>
                <w:sz w:val="18"/>
                <w:szCs w:val="18"/>
              </w:rPr>
              <w:t xml:space="preserve">              61.000,00 </w:t>
            </w:r>
          </w:p>
        </w:tc>
      </w:tr>
      <w:tr w:rsidR="004A7C69" w:rsidTr="004A7C69">
        <w:trPr>
          <w:trHeight w:val="360"/>
        </w:trPr>
        <w:tc>
          <w:tcPr>
            <w:tcW w:w="4678" w:type="dxa"/>
            <w:tcBorders>
              <w:top w:val="nil"/>
              <w:left w:val="nil"/>
              <w:bottom w:val="nil"/>
              <w:right w:val="nil"/>
            </w:tcBorders>
            <w:shd w:val="clear" w:color="auto" w:fill="auto"/>
            <w:vAlign w:val="bottom"/>
            <w:hideMark/>
          </w:tcPr>
          <w:p w:rsidR="004A7C69" w:rsidRDefault="004A7C69">
            <w:pPr>
              <w:rPr>
                <w:rFonts w:ascii="Tahoma" w:hAnsi="Tahoma" w:cs="Tahoma"/>
                <w:color w:val="000000"/>
                <w:sz w:val="18"/>
                <w:szCs w:val="18"/>
              </w:rPr>
            </w:pPr>
            <w:r>
              <w:rPr>
                <w:rFonts w:ascii="Tahoma" w:hAnsi="Tahoma" w:cs="Tahoma"/>
                <w:color w:val="000000"/>
                <w:sz w:val="18"/>
                <w:szCs w:val="18"/>
              </w:rPr>
              <w:t>Βασικά κέρδη ανά μετοχή</w:t>
            </w:r>
          </w:p>
        </w:tc>
        <w:tc>
          <w:tcPr>
            <w:tcW w:w="1816" w:type="dxa"/>
            <w:tcBorders>
              <w:top w:val="nil"/>
              <w:left w:val="nil"/>
              <w:bottom w:val="nil"/>
              <w:right w:val="nil"/>
            </w:tcBorders>
            <w:shd w:val="clear" w:color="auto" w:fill="auto"/>
            <w:noWrap/>
            <w:vAlign w:val="bottom"/>
            <w:hideMark/>
          </w:tcPr>
          <w:p w:rsidR="004A7C69" w:rsidRDefault="004A7C69" w:rsidP="004A7C69">
            <w:pPr>
              <w:jc w:val="right"/>
              <w:rPr>
                <w:rFonts w:ascii="Tahoma" w:hAnsi="Tahoma" w:cs="Tahoma"/>
                <w:sz w:val="18"/>
                <w:szCs w:val="18"/>
              </w:rPr>
            </w:pPr>
            <w:r>
              <w:rPr>
                <w:rFonts w:ascii="Tahoma" w:hAnsi="Tahoma" w:cs="Tahoma"/>
                <w:sz w:val="18"/>
                <w:szCs w:val="18"/>
              </w:rPr>
              <w:t xml:space="preserve">                   6,1100 </w:t>
            </w:r>
          </w:p>
        </w:tc>
        <w:tc>
          <w:tcPr>
            <w:tcW w:w="1796" w:type="dxa"/>
            <w:tcBorders>
              <w:top w:val="nil"/>
              <w:left w:val="nil"/>
              <w:bottom w:val="nil"/>
              <w:right w:val="nil"/>
            </w:tcBorders>
            <w:shd w:val="clear" w:color="auto" w:fill="auto"/>
            <w:noWrap/>
            <w:vAlign w:val="bottom"/>
            <w:hideMark/>
          </w:tcPr>
          <w:p w:rsidR="004A7C69" w:rsidRDefault="004A7C69" w:rsidP="004A7C69">
            <w:pPr>
              <w:jc w:val="right"/>
              <w:rPr>
                <w:rFonts w:ascii="Tahoma" w:hAnsi="Tahoma" w:cs="Tahoma"/>
                <w:sz w:val="18"/>
                <w:szCs w:val="18"/>
              </w:rPr>
            </w:pPr>
            <w:r>
              <w:rPr>
                <w:rFonts w:ascii="Tahoma" w:hAnsi="Tahoma" w:cs="Tahoma"/>
                <w:sz w:val="18"/>
                <w:szCs w:val="18"/>
              </w:rPr>
              <w:t xml:space="preserve">                  7,7953 </w:t>
            </w:r>
          </w:p>
        </w:tc>
      </w:tr>
    </w:tbl>
    <w:p w:rsidR="004A7C69" w:rsidRDefault="004A7C69" w:rsidP="0047500B">
      <w:pPr>
        <w:spacing w:line="360" w:lineRule="auto"/>
        <w:ind w:left="-426"/>
        <w:rPr>
          <w:rFonts w:ascii="Tahoma" w:hAnsi="Tahoma" w:cs="Tahoma"/>
          <w:sz w:val="22"/>
          <w:szCs w:val="22"/>
          <w:lang w:val="en-US"/>
        </w:rPr>
      </w:pPr>
    </w:p>
    <w:p w:rsidR="004A7C69" w:rsidRDefault="004A7C69" w:rsidP="0047500B">
      <w:pPr>
        <w:spacing w:line="360" w:lineRule="auto"/>
        <w:ind w:left="-426"/>
        <w:rPr>
          <w:rFonts w:ascii="Tahoma" w:hAnsi="Tahoma" w:cs="Tahoma"/>
          <w:sz w:val="22"/>
          <w:szCs w:val="22"/>
          <w:lang w:val="en-US"/>
        </w:rPr>
      </w:pPr>
    </w:p>
    <w:p w:rsidR="004A7C69" w:rsidRPr="00485A4C" w:rsidRDefault="004A7C69" w:rsidP="0047500B">
      <w:pPr>
        <w:spacing w:line="360" w:lineRule="auto"/>
        <w:ind w:left="-426"/>
        <w:rPr>
          <w:rFonts w:ascii="Tahoma" w:hAnsi="Tahoma" w:cs="Tahoma"/>
          <w:sz w:val="22"/>
          <w:szCs w:val="22"/>
          <w:highlight w:val="red"/>
          <w:lang w:val="en-US"/>
        </w:rPr>
      </w:pPr>
    </w:p>
    <w:p w:rsidR="0047500B" w:rsidRPr="00485A4C" w:rsidRDefault="0047500B" w:rsidP="00DC26FA">
      <w:pPr>
        <w:autoSpaceDE w:val="0"/>
        <w:autoSpaceDN w:val="0"/>
        <w:adjustRightInd w:val="0"/>
        <w:spacing w:line="360" w:lineRule="auto"/>
        <w:ind w:left="-539"/>
        <w:jc w:val="both"/>
        <w:rPr>
          <w:rFonts w:ascii="Tahoma" w:hAnsi="Tahoma" w:cs="Tahoma"/>
          <w:sz w:val="22"/>
          <w:szCs w:val="22"/>
        </w:rPr>
      </w:pPr>
      <w:r w:rsidRPr="00485A4C">
        <w:rPr>
          <w:rFonts w:ascii="Tahoma" w:hAnsi="Tahoma" w:cs="Tahoma"/>
          <w:sz w:val="22"/>
          <w:szCs w:val="22"/>
        </w:rPr>
        <w:t>Τα μερίσματα καταχωρούνται στις οικονομικές καταστάσεις του Ομίλου κατά την χρήση στην οποία εγκρίνονται από τους μετόχους των εταιρειών που απαρτίζουν τον όμιλο. Για την κλειόμενη χρήση προτείνεται από το Διοικητικό Συμβούλιο της Εταιρείας διανομή μερισμάτων ύψους €</w:t>
      </w:r>
      <w:r w:rsidR="003F3381" w:rsidRPr="00485A4C">
        <w:rPr>
          <w:rFonts w:ascii="Tahoma" w:hAnsi="Tahoma" w:cs="Tahoma"/>
          <w:sz w:val="22"/>
          <w:szCs w:val="22"/>
        </w:rPr>
        <w:t xml:space="preserve"> </w:t>
      </w:r>
      <w:r w:rsidR="003F3381" w:rsidRPr="00A1721E">
        <w:rPr>
          <w:rFonts w:ascii="Tahoma" w:hAnsi="Tahoma" w:cs="Tahoma"/>
          <w:sz w:val="22"/>
          <w:szCs w:val="22"/>
        </w:rPr>
        <w:t>390.000,00.</w:t>
      </w:r>
    </w:p>
    <w:p w:rsidR="00DC26FA" w:rsidRDefault="00DC26FA" w:rsidP="00DC26FA">
      <w:pPr>
        <w:spacing w:line="360" w:lineRule="auto"/>
        <w:ind w:left="360"/>
        <w:jc w:val="center"/>
        <w:rPr>
          <w:rFonts w:ascii="Tahoma" w:hAnsi="Tahoma" w:cs="Tahoma"/>
          <w:b/>
          <w:sz w:val="22"/>
          <w:szCs w:val="22"/>
          <w:highlight w:val="yellow"/>
        </w:rPr>
      </w:pPr>
    </w:p>
    <w:p w:rsidR="004A7C69" w:rsidRDefault="004A7C69" w:rsidP="00DC26FA">
      <w:pPr>
        <w:spacing w:line="360" w:lineRule="auto"/>
        <w:ind w:left="360"/>
        <w:jc w:val="center"/>
        <w:rPr>
          <w:rFonts w:ascii="Tahoma" w:hAnsi="Tahoma" w:cs="Tahoma"/>
          <w:b/>
          <w:sz w:val="22"/>
          <w:szCs w:val="22"/>
          <w:highlight w:val="yellow"/>
        </w:rPr>
      </w:pPr>
    </w:p>
    <w:p w:rsidR="004A7C69" w:rsidRPr="00485A4C" w:rsidRDefault="004A7C69" w:rsidP="00DC26FA">
      <w:pPr>
        <w:spacing w:line="360" w:lineRule="auto"/>
        <w:ind w:left="360"/>
        <w:jc w:val="center"/>
        <w:rPr>
          <w:rFonts w:ascii="Tahoma" w:hAnsi="Tahoma" w:cs="Tahoma"/>
          <w:b/>
          <w:sz w:val="22"/>
          <w:szCs w:val="22"/>
          <w:highlight w:val="yellow"/>
        </w:rPr>
      </w:pPr>
    </w:p>
    <w:p w:rsidR="00DC26FA" w:rsidRPr="00485A4C" w:rsidRDefault="00DC26FA" w:rsidP="00DC26FA">
      <w:pPr>
        <w:ind w:hanging="540"/>
        <w:jc w:val="both"/>
        <w:rPr>
          <w:rFonts w:ascii="Tahoma" w:hAnsi="Tahoma" w:cs="Tahoma"/>
          <w:b/>
          <w:sz w:val="22"/>
          <w:szCs w:val="22"/>
        </w:rPr>
      </w:pPr>
      <w:r w:rsidRPr="00485A4C">
        <w:rPr>
          <w:rFonts w:ascii="Tahoma" w:hAnsi="Tahoma" w:cs="Tahoma"/>
          <w:b/>
          <w:sz w:val="22"/>
          <w:szCs w:val="22"/>
        </w:rPr>
        <w:lastRenderedPageBreak/>
        <w:t>7. ΥΠΟΚΑΤΑΣΤΗΜΑΤΑ ΤΗΣ ΕΤΑΙΡΕΙΑΣ</w:t>
      </w:r>
    </w:p>
    <w:p w:rsidR="00DC26FA" w:rsidRPr="00485A4C" w:rsidRDefault="00DC26FA" w:rsidP="00DC26FA">
      <w:pPr>
        <w:autoSpaceDE w:val="0"/>
        <w:autoSpaceDN w:val="0"/>
        <w:adjustRightInd w:val="0"/>
        <w:spacing w:line="360" w:lineRule="auto"/>
        <w:ind w:left="-540"/>
        <w:jc w:val="both"/>
        <w:rPr>
          <w:rFonts w:ascii="Tahoma" w:hAnsi="Tahoma" w:cs="Tahoma"/>
          <w:sz w:val="22"/>
          <w:szCs w:val="22"/>
        </w:rPr>
      </w:pPr>
    </w:p>
    <w:p w:rsidR="00DC26FA" w:rsidRPr="00485A4C" w:rsidRDefault="00DC26FA" w:rsidP="00DC26FA">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Εταιρεία δεν έχει υποκαταστήματα.</w:t>
      </w:r>
    </w:p>
    <w:p w:rsidR="00DC26FA" w:rsidRPr="00485A4C" w:rsidRDefault="00DC26FA" w:rsidP="00DC26FA">
      <w:pPr>
        <w:ind w:hanging="540"/>
        <w:jc w:val="both"/>
        <w:rPr>
          <w:rFonts w:ascii="Tahoma" w:hAnsi="Tahoma" w:cs="Tahoma"/>
          <w:b/>
          <w:sz w:val="22"/>
          <w:szCs w:val="22"/>
        </w:rPr>
      </w:pPr>
    </w:p>
    <w:p w:rsidR="00DC26FA" w:rsidRPr="00485A4C" w:rsidRDefault="00DC26FA" w:rsidP="00DC26FA">
      <w:pPr>
        <w:ind w:hanging="540"/>
        <w:jc w:val="both"/>
        <w:rPr>
          <w:rFonts w:ascii="Tahoma" w:hAnsi="Tahoma" w:cs="Tahoma"/>
          <w:b/>
          <w:sz w:val="22"/>
          <w:szCs w:val="22"/>
        </w:rPr>
      </w:pPr>
      <w:r w:rsidRPr="00485A4C">
        <w:rPr>
          <w:rFonts w:ascii="Tahoma" w:hAnsi="Tahoma" w:cs="Tahoma"/>
          <w:b/>
          <w:sz w:val="22"/>
          <w:szCs w:val="22"/>
        </w:rPr>
        <w:t>8. ΑΚΙΝΗΤΑ ΤΗΣ ΕΤΑΙΡΕΙΑΣ</w:t>
      </w:r>
    </w:p>
    <w:p w:rsidR="00DC26FA" w:rsidRPr="00485A4C" w:rsidRDefault="00DC26FA" w:rsidP="00DC26FA">
      <w:pPr>
        <w:autoSpaceDE w:val="0"/>
        <w:autoSpaceDN w:val="0"/>
        <w:adjustRightInd w:val="0"/>
        <w:spacing w:line="360" w:lineRule="auto"/>
        <w:ind w:left="-540"/>
        <w:jc w:val="both"/>
        <w:rPr>
          <w:rFonts w:ascii="Tahoma" w:hAnsi="Tahoma" w:cs="Tahoma"/>
          <w:sz w:val="22"/>
          <w:szCs w:val="22"/>
        </w:rPr>
      </w:pPr>
    </w:p>
    <w:p w:rsidR="00DC26FA" w:rsidRPr="00485A4C" w:rsidRDefault="00B74DFC" w:rsidP="00DC26FA">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Ένα οικόπεδο της εταιρείας στη ΒΙΠΕ Βόλου, εμπορικής αξίας €750.000 περίπου.  Επί του οικοπέδου έχει ανεγερθεί α) ένα κτίριο εργοστασίου ενός (1) ορόφου (ολοκλήρωση κατασκευών 2006), β) κτίριο ψυκτικών θάλαμων και γ) αποθηκευτικοί χώροι, εμπορικής αναπόσβεστης αξίας €1.611.000,00 περίπου.</w:t>
      </w:r>
    </w:p>
    <w:p w:rsidR="00DC26FA" w:rsidRPr="00485A4C" w:rsidRDefault="00DC26FA" w:rsidP="00DC26FA">
      <w:pPr>
        <w:jc w:val="both"/>
        <w:rPr>
          <w:rFonts w:ascii="Tahoma" w:hAnsi="Tahoma" w:cs="Tahoma"/>
          <w:b/>
          <w:bCs/>
          <w:iCs/>
          <w:sz w:val="22"/>
          <w:szCs w:val="22"/>
        </w:rPr>
      </w:pPr>
    </w:p>
    <w:p w:rsidR="00DC26FA" w:rsidRPr="00485A4C" w:rsidRDefault="00DC26FA" w:rsidP="00DC26FA">
      <w:pPr>
        <w:ind w:hanging="540"/>
        <w:jc w:val="both"/>
        <w:rPr>
          <w:rFonts w:ascii="Tahoma" w:hAnsi="Tahoma" w:cs="Tahoma"/>
          <w:b/>
          <w:sz w:val="22"/>
          <w:szCs w:val="22"/>
        </w:rPr>
      </w:pPr>
      <w:r w:rsidRPr="00485A4C">
        <w:rPr>
          <w:rFonts w:ascii="Tahoma" w:hAnsi="Tahoma" w:cs="Tahoma"/>
          <w:b/>
          <w:sz w:val="22"/>
          <w:szCs w:val="22"/>
        </w:rPr>
        <w:t>9. ΣΗΜΑΝΤΙΚΑ ΓΕΓΟΝΟΤΑ ΜΕΤΑ ΤΗΝ ΛΗΞΗ ΤΗΣ ΚΛΕΙΟΜΕΝΗΣ ΧΡΗΣΗΣ</w:t>
      </w:r>
    </w:p>
    <w:p w:rsidR="00DC26FA" w:rsidRPr="00485A4C" w:rsidRDefault="00DC26FA" w:rsidP="00DC26FA">
      <w:pPr>
        <w:jc w:val="both"/>
        <w:rPr>
          <w:rFonts w:ascii="Tahoma" w:hAnsi="Tahoma" w:cs="Tahoma"/>
          <w:b/>
          <w:bCs/>
          <w:iCs/>
          <w:sz w:val="22"/>
          <w:szCs w:val="22"/>
          <w:u w:val="single"/>
        </w:rPr>
      </w:pPr>
    </w:p>
    <w:p w:rsidR="0042352F" w:rsidRPr="00485A4C" w:rsidRDefault="00DC26FA" w:rsidP="00DC26FA">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Εκτός των ήδη αναφερθέντων γεγονότων, δεν υπάρχουν μεταγενέστερα των οικονομικών καταστάσεων γεγονότα, τα οποία να αφορούν την Εταιρεία, στα οποία επιβάλλεται αναφορά από τα Διεθνή Πρότυπα Χρηματοοικονομικής Αναφοράς (Δ.Π.Χ.Α.).</w:t>
      </w:r>
    </w:p>
    <w:p w:rsidR="0042352F" w:rsidRPr="00485A4C" w:rsidRDefault="0042352F" w:rsidP="0042352F">
      <w:pPr>
        <w:jc w:val="both"/>
        <w:rPr>
          <w:rFonts w:ascii="Tahoma" w:hAnsi="Tahoma" w:cs="Tahoma"/>
          <w:b/>
          <w:bCs/>
          <w:iCs/>
          <w:sz w:val="22"/>
          <w:szCs w:val="22"/>
        </w:rPr>
      </w:pPr>
    </w:p>
    <w:p w:rsidR="0042352F" w:rsidRPr="004A7C69" w:rsidRDefault="0094777C" w:rsidP="00467BE7">
      <w:pPr>
        <w:spacing w:line="360" w:lineRule="auto"/>
        <w:jc w:val="center"/>
        <w:rPr>
          <w:rFonts w:ascii="Tahoma" w:hAnsi="Tahoma" w:cs="Tahoma"/>
          <w:bCs/>
          <w:iCs/>
          <w:sz w:val="22"/>
          <w:szCs w:val="22"/>
          <w:lang w:val="en-US"/>
        </w:rPr>
      </w:pPr>
      <w:r w:rsidRPr="00485A4C">
        <w:rPr>
          <w:rFonts w:ascii="Tahoma" w:hAnsi="Tahoma" w:cs="Tahoma"/>
          <w:bCs/>
          <w:iCs/>
          <w:sz w:val="22"/>
          <w:szCs w:val="22"/>
        </w:rPr>
        <w:t>Α΄ΒΙΠΕ ΒΟΛΟΥ</w:t>
      </w:r>
      <w:r w:rsidR="0042352F" w:rsidRPr="00485A4C">
        <w:rPr>
          <w:rFonts w:ascii="Tahoma" w:hAnsi="Tahoma" w:cs="Tahoma"/>
          <w:bCs/>
          <w:iCs/>
          <w:sz w:val="22"/>
          <w:szCs w:val="22"/>
        </w:rPr>
        <w:t xml:space="preserve">, </w:t>
      </w:r>
      <w:r w:rsidR="003F3381" w:rsidRPr="00485A4C">
        <w:rPr>
          <w:rFonts w:ascii="Tahoma" w:hAnsi="Tahoma" w:cs="Tahoma"/>
          <w:bCs/>
          <w:iCs/>
          <w:sz w:val="22"/>
          <w:szCs w:val="22"/>
        </w:rPr>
        <w:t xml:space="preserve">6 </w:t>
      </w:r>
      <w:r w:rsidR="00633408" w:rsidRPr="00485A4C">
        <w:rPr>
          <w:rFonts w:ascii="Tahoma" w:hAnsi="Tahoma" w:cs="Tahoma"/>
          <w:bCs/>
          <w:iCs/>
          <w:sz w:val="22"/>
          <w:szCs w:val="22"/>
        </w:rPr>
        <w:t>Α</w:t>
      </w:r>
      <w:r w:rsidRPr="00485A4C">
        <w:rPr>
          <w:rFonts w:ascii="Tahoma" w:hAnsi="Tahoma" w:cs="Tahoma"/>
          <w:bCs/>
          <w:iCs/>
          <w:sz w:val="22"/>
          <w:szCs w:val="22"/>
        </w:rPr>
        <w:t>υγούστου 201</w:t>
      </w:r>
      <w:r w:rsidR="004A7C69">
        <w:rPr>
          <w:rFonts w:ascii="Tahoma" w:hAnsi="Tahoma" w:cs="Tahoma"/>
          <w:bCs/>
          <w:iCs/>
          <w:sz w:val="22"/>
          <w:szCs w:val="22"/>
          <w:lang w:val="en-US"/>
        </w:rPr>
        <w:t>9</w:t>
      </w:r>
    </w:p>
    <w:p w:rsidR="0042352F" w:rsidRPr="00485A4C" w:rsidRDefault="00467BE7" w:rsidP="00467BE7">
      <w:pPr>
        <w:spacing w:line="360" w:lineRule="auto"/>
        <w:jc w:val="center"/>
        <w:rPr>
          <w:rFonts w:ascii="Tahoma" w:hAnsi="Tahoma" w:cs="Tahoma"/>
          <w:bCs/>
          <w:iCs/>
          <w:sz w:val="22"/>
          <w:szCs w:val="22"/>
        </w:rPr>
      </w:pPr>
      <w:r w:rsidRPr="00485A4C">
        <w:rPr>
          <w:rFonts w:ascii="Tahoma" w:hAnsi="Tahoma" w:cs="Tahoma"/>
          <w:bCs/>
          <w:iCs/>
          <w:sz w:val="22"/>
          <w:szCs w:val="22"/>
        </w:rPr>
        <w:t xml:space="preserve">Για </w:t>
      </w:r>
      <w:r w:rsidR="0042352F" w:rsidRPr="00485A4C">
        <w:rPr>
          <w:rFonts w:ascii="Tahoma" w:hAnsi="Tahoma" w:cs="Tahoma"/>
          <w:bCs/>
          <w:iCs/>
          <w:sz w:val="22"/>
          <w:szCs w:val="22"/>
        </w:rPr>
        <w:t>το Διοικητικό Συμβούλιο</w:t>
      </w:r>
    </w:p>
    <w:p w:rsidR="00467BE7" w:rsidRPr="00485A4C" w:rsidRDefault="00467BE7" w:rsidP="00467BE7">
      <w:pPr>
        <w:spacing w:line="360" w:lineRule="auto"/>
        <w:jc w:val="center"/>
        <w:rPr>
          <w:rFonts w:ascii="Tahoma" w:hAnsi="Tahoma" w:cs="Tahoma"/>
          <w:bCs/>
          <w:iCs/>
          <w:sz w:val="22"/>
          <w:szCs w:val="22"/>
        </w:rPr>
      </w:pPr>
      <w:r w:rsidRPr="00485A4C">
        <w:rPr>
          <w:rFonts w:ascii="Tahoma" w:hAnsi="Tahoma" w:cs="Tahoma"/>
          <w:bCs/>
          <w:iCs/>
          <w:sz w:val="22"/>
          <w:szCs w:val="22"/>
        </w:rPr>
        <w:t>Ο Πρόεδρος &amp; Διευθύνων Σύμβουλος</w:t>
      </w:r>
    </w:p>
    <w:p w:rsidR="0025524E" w:rsidRPr="00485A4C" w:rsidRDefault="0025524E" w:rsidP="00467BE7">
      <w:pPr>
        <w:spacing w:line="360" w:lineRule="auto"/>
        <w:jc w:val="center"/>
        <w:rPr>
          <w:rFonts w:ascii="Tahoma" w:hAnsi="Tahoma" w:cs="Tahoma"/>
          <w:bCs/>
          <w:iCs/>
          <w:sz w:val="22"/>
          <w:szCs w:val="22"/>
          <w:highlight w:val="yellow"/>
        </w:rPr>
      </w:pPr>
    </w:p>
    <w:p w:rsidR="00467BE7" w:rsidRPr="00485A4C" w:rsidRDefault="00467BE7" w:rsidP="00467BE7">
      <w:pPr>
        <w:spacing w:line="360" w:lineRule="auto"/>
        <w:jc w:val="center"/>
        <w:rPr>
          <w:rFonts w:ascii="Tahoma" w:hAnsi="Tahoma" w:cs="Tahoma"/>
          <w:bCs/>
          <w:iCs/>
          <w:sz w:val="22"/>
          <w:szCs w:val="22"/>
          <w:highlight w:val="yellow"/>
        </w:rPr>
      </w:pPr>
    </w:p>
    <w:p w:rsidR="00B74DFC" w:rsidRPr="00485A4C" w:rsidRDefault="003F3381" w:rsidP="00467BE7">
      <w:pPr>
        <w:spacing w:line="360" w:lineRule="auto"/>
        <w:jc w:val="center"/>
        <w:rPr>
          <w:rFonts w:ascii="Tahoma" w:hAnsi="Tahoma" w:cs="Tahoma"/>
          <w:bCs/>
          <w:iCs/>
          <w:sz w:val="22"/>
          <w:szCs w:val="22"/>
        </w:rPr>
      </w:pPr>
      <w:r w:rsidRPr="00485A4C">
        <w:rPr>
          <w:rFonts w:ascii="Tahoma" w:hAnsi="Tahoma" w:cs="Tahoma"/>
          <w:bCs/>
          <w:iCs/>
          <w:sz w:val="22"/>
          <w:szCs w:val="22"/>
        </w:rPr>
        <w:t>ΠΕΠΟΝΟΠΟΥΛΟΣ ΕΜΜ. ΣΤΕΛΙΟΣ</w:t>
      </w:r>
    </w:p>
    <w:p w:rsidR="00B74DFC" w:rsidRPr="00485A4C" w:rsidRDefault="00B74DFC" w:rsidP="00467BE7">
      <w:pPr>
        <w:spacing w:line="360" w:lineRule="auto"/>
        <w:jc w:val="center"/>
        <w:rPr>
          <w:rFonts w:ascii="Tahoma" w:hAnsi="Tahoma" w:cs="Tahoma"/>
          <w:bCs/>
          <w:iCs/>
          <w:sz w:val="22"/>
          <w:szCs w:val="22"/>
          <w:highlight w:val="red"/>
          <w:lang w:val="en-US"/>
        </w:rPr>
      </w:pPr>
    </w:p>
    <w:p w:rsidR="00B74DFC" w:rsidRPr="00485A4C" w:rsidRDefault="00B74DFC" w:rsidP="00467BE7">
      <w:pPr>
        <w:spacing w:line="360" w:lineRule="auto"/>
        <w:jc w:val="center"/>
        <w:rPr>
          <w:rFonts w:ascii="Tahoma" w:hAnsi="Tahoma" w:cs="Tahoma"/>
          <w:bCs/>
          <w:iCs/>
          <w:sz w:val="22"/>
          <w:szCs w:val="22"/>
          <w:highlight w:val="red"/>
          <w:lang w:val="en-US"/>
        </w:rPr>
      </w:pPr>
    </w:p>
    <w:p w:rsidR="00B74DFC" w:rsidRPr="00485A4C" w:rsidRDefault="00B74DFC" w:rsidP="00467BE7">
      <w:pPr>
        <w:spacing w:line="360" w:lineRule="auto"/>
        <w:jc w:val="center"/>
        <w:rPr>
          <w:rFonts w:ascii="Tahoma" w:hAnsi="Tahoma" w:cs="Tahoma"/>
          <w:bCs/>
          <w:iCs/>
          <w:sz w:val="22"/>
          <w:szCs w:val="22"/>
          <w:highlight w:val="red"/>
          <w:lang w:val="en-US"/>
        </w:rPr>
      </w:pPr>
    </w:p>
    <w:p w:rsidR="00B74DFC" w:rsidRDefault="00B74DFC" w:rsidP="00467BE7">
      <w:pPr>
        <w:spacing w:line="360" w:lineRule="auto"/>
        <w:jc w:val="center"/>
        <w:rPr>
          <w:rFonts w:ascii="Tahoma" w:hAnsi="Tahoma" w:cs="Tahoma"/>
          <w:bCs/>
          <w:iCs/>
          <w:sz w:val="22"/>
          <w:szCs w:val="22"/>
          <w:highlight w:val="red"/>
          <w:lang w:val="en-US"/>
        </w:rPr>
      </w:pPr>
    </w:p>
    <w:p w:rsidR="004A7C69" w:rsidRDefault="004A7C69" w:rsidP="00467BE7">
      <w:pPr>
        <w:spacing w:line="360" w:lineRule="auto"/>
        <w:jc w:val="center"/>
        <w:rPr>
          <w:rFonts w:ascii="Tahoma" w:hAnsi="Tahoma" w:cs="Tahoma"/>
          <w:bCs/>
          <w:iCs/>
          <w:sz w:val="22"/>
          <w:szCs w:val="22"/>
          <w:highlight w:val="red"/>
          <w:lang w:val="en-US"/>
        </w:rPr>
      </w:pPr>
    </w:p>
    <w:p w:rsidR="004A7C69" w:rsidRDefault="004A7C69" w:rsidP="00467BE7">
      <w:pPr>
        <w:spacing w:line="360" w:lineRule="auto"/>
        <w:jc w:val="center"/>
        <w:rPr>
          <w:rFonts w:ascii="Tahoma" w:hAnsi="Tahoma" w:cs="Tahoma"/>
          <w:bCs/>
          <w:iCs/>
          <w:sz w:val="22"/>
          <w:szCs w:val="22"/>
          <w:highlight w:val="red"/>
          <w:lang w:val="en-US"/>
        </w:rPr>
      </w:pPr>
    </w:p>
    <w:p w:rsidR="004A7C69" w:rsidRDefault="004A7C69" w:rsidP="00467BE7">
      <w:pPr>
        <w:spacing w:line="360" w:lineRule="auto"/>
        <w:jc w:val="center"/>
        <w:rPr>
          <w:rFonts w:ascii="Tahoma" w:hAnsi="Tahoma" w:cs="Tahoma"/>
          <w:bCs/>
          <w:iCs/>
          <w:sz w:val="22"/>
          <w:szCs w:val="22"/>
          <w:highlight w:val="red"/>
          <w:lang w:val="en-US"/>
        </w:rPr>
      </w:pPr>
    </w:p>
    <w:p w:rsidR="004A7C69" w:rsidRDefault="004A7C69" w:rsidP="00467BE7">
      <w:pPr>
        <w:spacing w:line="360" w:lineRule="auto"/>
        <w:jc w:val="center"/>
        <w:rPr>
          <w:rFonts w:ascii="Tahoma" w:hAnsi="Tahoma" w:cs="Tahoma"/>
          <w:bCs/>
          <w:iCs/>
          <w:sz w:val="22"/>
          <w:szCs w:val="22"/>
          <w:highlight w:val="red"/>
          <w:lang w:val="en-US"/>
        </w:rPr>
      </w:pPr>
    </w:p>
    <w:p w:rsidR="004A7C69" w:rsidRDefault="004A7C69" w:rsidP="00467BE7">
      <w:pPr>
        <w:spacing w:line="360" w:lineRule="auto"/>
        <w:jc w:val="center"/>
        <w:rPr>
          <w:rFonts w:ascii="Tahoma" w:hAnsi="Tahoma" w:cs="Tahoma"/>
          <w:bCs/>
          <w:iCs/>
          <w:sz w:val="22"/>
          <w:szCs w:val="22"/>
          <w:highlight w:val="red"/>
          <w:lang w:val="en-US"/>
        </w:rPr>
      </w:pPr>
    </w:p>
    <w:p w:rsidR="004A7C69" w:rsidRDefault="004A7C69" w:rsidP="00467BE7">
      <w:pPr>
        <w:spacing w:line="360" w:lineRule="auto"/>
        <w:jc w:val="center"/>
        <w:rPr>
          <w:rFonts w:ascii="Tahoma" w:hAnsi="Tahoma" w:cs="Tahoma"/>
          <w:bCs/>
          <w:iCs/>
          <w:sz w:val="22"/>
          <w:szCs w:val="22"/>
          <w:highlight w:val="red"/>
          <w:lang w:val="en-US"/>
        </w:rPr>
      </w:pPr>
    </w:p>
    <w:p w:rsidR="004A7C69" w:rsidRDefault="004A7C69" w:rsidP="00467BE7">
      <w:pPr>
        <w:spacing w:line="360" w:lineRule="auto"/>
        <w:jc w:val="center"/>
        <w:rPr>
          <w:rFonts w:ascii="Tahoma" w:hAnsi="Tahoma" w:cs="Tahoma"/>
          <w:bCs/>
          <w:iCs/>
          <w:sz w:val="22"/>
          <w:szCs w:val="22"/>
          <w:highlight w:val="red"/>
          <w:lang w:val="en-US"/>
        </w:rPr>
      </w:pPr>
    </w:p>
    <w:p w:rsidR="004A7C69" w:rsidRDefault="004A7C69" w:rsidP="00467BE7">
      <w:pPr>
        <w:spacing w:line="360" w:lineRule="auto"/>
        <w:jc w:val="center"/>
        <w:rPr>
          <w:rFonts w:ascii="Tahoma" w:hAnsi="Tahoma" w:cs="Tahoma"/>
          <w:bCs/>
          <w:iCs/>
          <w:sz w:val="22"/>
          <w:szCs w:val="22"/>
          <w:highlight w:val="red"/>
          <w:lang w:val="en-US"/>
        </w:rPr>
      </w:pPr>
    </w:p>
    <w:p w:rsidR="004A7C69" w:rsidRDefault="004A7C69" w:rsidP="00467BE7">
      <w:pPr>
        <w:spacing w:line="360" w:lineRule="auto"/>
        <w:jc w:val="center"/>
        <w:rPr>
          <w:rFonts w:ascii="Tahoma" w:hAnsi="Tahoma" w:cs="Tahoma"/>
          <w:bCs/>
          <w:iCs/>
          <w:sz w:val="22"/>
          <w:szCs w:val="22"/>
          <w:highlight w:val="red"/>
          <w:lang w:val="en-US"/>
        </w:rPr>
      </w:pPr>
    </w:p>
    <w:p w:rsidR="004A7C69" w:rsidRDefault="004A7C69" w:rsidP="00467BE7">
      <w:pPr>
        <w:spacing w:line="360" w:lineRule="auto"/>
        <w:jc w:val="center"/>
        <w:rPr>
          <w:rFonts w:ascii="Tahoma" w:hAnsi="Tahoma" w:cs="Tahoma"/>
          <w:bCs/>
          <w:iCs/>
          <w:sz w:val="22"/>
          <w:szCs w:val="22"/>
          <w:highlight w:val="red"/>
          <w:lang w:val="en-US"/>
        </w:rPr>
      </w:pPr>
    </w:p>
    <w:p w:rsidR="004A7C69" w:rsidRPr="00485A4C" w:rsidRDefault="004A7C69" w:rsidP="00467BE7">
      <w:pPr>
        <w:spacing w:line="360" w:lineRule="auto"/>
        <w:jc w:val="center"/>
        <w:rPr>
          <w:rFonts w:ascii="Tahoma" w:hAnsi="Tahoma" w:cs="Tahoma"/>
          <w:bCs/>
          <w:iCs/>
          <w:sz w:val="22"/>
          <w:szCs w:val="22"/>
          <w:highlight w:val="red"/>
          <w:lang w:val="en-US"/>
        </w:rPr>
      </w:pPr>
    </w:p>
    <w:p w:rsidR="000433D7" w:rsidRPr="00485A4C" w:rsidRDefault="000433D7" w:rsidP="00467BE7">
      <w:pPr>
        <w:spacing w:line="360" w:lineRule="auto"/>
        <w:jc w:val="center"/>
        <w:rPr>
          <w:rFonts w:ascii="Tahoma" w:hAnsi="Tahoma" w:cs="Tahoma"/>
          <w:bCs/>
          <w:iCs/>
          <w:sz w:val="22"/>
          <w:szCs w:val="22"/>
          <w:highlight w:val="red"/>
        </w:rPr>
      </w:pPr>
    </w:p>
    <w:bookmarkEnd w:id="1"/>
    <w:p w:rsidR="00346ADE" w:rsidRPr="00485A4C" w:rsidRDefault="00346ADE" w:rsidP="00A54BA8">
      <w:pPr>
        <w:ind w:left="2700"/>
        <w:jc w:val="both"/>
        <w:rPr>
          <w:rFonts w:ascii="Tahoma" w:hAnsi="Tahoma" w:cs="Tahoma"/>
          <w:sz w:val="22"/>
          <w:szCs w:val="22"/>
          <w:highlight w:val="red"/>
        </w:rPr>
      </w:pPr>
    </w:p>
    <w:p w:rsidR="005417A6" w:rsidRDefault="005417A6" w:rsidP="00194944">
      <w:pPr>
        <w:jc w:val="center"/>
        <w:rPr>
          <w:rFonts w:ascii="Tahoma" w:hAnsi="Tahoma" w:cs="Tahoma"/>
          <w:sz w:val="22"/>
          <w:szCs w:val="22"/>
          <w:highlight w:val="red"/>
        </w:rPr>
      </w:pPr>
    </w:p>
    <w:p w:rsidR="004E168F" w:rsidRDefault="004E168F" w:rsidP="00194944">
      <w:pPr>
        <w:jc w:val="center"/>
        <w:rPr>
          <w:rFonts w:ascii="Tahoma" w:hAnsi="Tahoma" w:cs="Tahoma"/>
          <w:sz w:val="22"/>
          <w:szCs w:val="22"/>
          <w:highlight w:val="red"/>
        </w:rPr>
      </w:pPr>
    </w:p>
    <w:p w:rsidR="004E168F" w:rsidRDefault="004E168F" w:rsidP="00194944">
      <w:pPr>
        <w:jc w:val="center"/>
        <w:rPr>
          <w:rFonts w:ascii="Tahoma" w:hAnsi="Tahoma" w:cs="Tahoma"/>
          <w:sz w:val="22"/>
          <w:szCs w:val="22"/>
          <w:highlight w:val="red"/>
        </w:rPr>
      </w:pPr>
    </w:p>
    <w:p w:rsidR="004E168F" w:rsidRDefault="004E168F" w:rsidP="00194944">
      <w:pPr>
        <w:jc w:val="center"/>
        <w:rPr>
          <w:rFonts w:ascii="Tahoma" w:hAnsi="Tahoma" w:cs="Tahoma"/>
          <w:sz w:val="22"/>
          <w:szCs w:val="22"/>
          <w:highlight w:val="red"/>
        </w:rPr>
      </w:pPr>
    </w:p>
    <w:p w:rsidR="004E168F" w:rsidRPr="005C5A08" w:rsidRDefault="004E168F" w:rsidP="004E168F">
      <w:pPr>
        <w:autoSpaceDE w:val="0"/>
        <w:autoSpaceDN w:val="0"/>
        <w:adjustRightInd w:val="0"/>
        <w:rPr>
          <w:rFonts w:ascii="Tahoma" w:hAnsi="Tahoma" w:cs="Tahoma"/>
          <w:b/>
          <w:sz w:val="20"/>
          <w:szCs w:val="20"/>
        </w:rPr>
      </w:pPr>
      <w:r w:rsidRPr="005C5A08">
        <w:rPr>
          <w:rFonts w:ascii="Tahoma" w:hAnsi="Tahoma" w:cs="Tahoma"/>
          <w:b/>
          <w:sz w:val="20"/>
          <w:szCs w:val="20"/>
        </w:rPr>
        <w:t>Έκθεση Ανεξάρτητου Ορκωτού Ελεγκτή Λογιστή</w:t>
      </w:r>
    </w:p>
    <w:p w:rsidR="004E168F" w:rsidRPr="005C5A08" w:rsidRDefault="004E168F" w:rsidP="004E168F">
      <w:pPr>
        <w:autoSpaceDE w:val="0"/>
        <w:autoSpaceDN w:val="0"/>
        <w:adjustRightInd w:val="0"/>
        <w:rPr>
          <w:rFonts w:ascii="Tahoma" w:hAnsi="Tahoma" w:cs="Tahoma"/>
          <w:b/>
          <w:color w:val="000000"/>
          <w:sz w:val="20"/>
          <w:szCs w:val="20"/>
          <w:u w:val="single"/>
        </w:rPr>
      </w:pPr>
    </w:p>
    <w:p w:rsidR="004E168F" w:rsidRDefault="004E168F" w:rsidP="004E168F">
      <w:pPr>
        <w:rPr>
          <w:rFonts w:ascii="Tahoma" w:hAnsi="Tahoma" w:cs="Tahoma"/>
          <w:b/>
          <w:bCs/>
          <w:iCs/>
          <w:sz w:val="20"/>
        </w:rPr>
      </w:pPr>
      <w:r w:rsidRPr="005C5A08">
        <w:rPr>
          <w:rFonts w:ascii="Tahoma" w:hAnsi="Tahoma" w:cs="Tahoma"/>
          <w:sz w:val="20"/>
          <w:szCs w:val="20"/>
        </w:rPr>
        <w:t xml:space="preserve">Προς τους Μετόχους της Εταιρείας </w:t>
      </w:r>
      <w:bookmarkStart w:id="4" w:name="_Hlk526171809"/>
      <w:r w:rsidRPr="005C5A08">
        <w:rPr>
          <w:rFonts w:ascii="Tahoma" w:hAnsi="Tahoma" w:cs="Tahoma"/>
          <w:b/>
          <w:bCs/>
          <w:iCs/>
          <w:sz w:val="20"/>
          <w:szCs w:val="20"/>
        </w:rPr>
        <w:t>«ΠΕΠΟΝΟΠΟΥΛΟΣ Α.Ε.»</w:t>
      </w:r>
      <w:bookmarkEnd w:id="4"/>
    </w:p>
    <w:p w:rsidR="004E168F" w:rsidRPr="005C5A08" w:rsidRDefault="004E168F" w:rsidP="004E168F">
      <w:pPr>
        <w:rPr>
          <w:rFonts w:ascii="Tahoma" w:hAnsi="Tahoma" w:cs="Tahoma"/>
          <w:b/>
          <w:color w:val="000000"/>
          <w:sz w:val="20"/>
          <w:szCs w:val="20"/>
          <w:u w:val="single"/>
        </w:rPr>
      </w:pPr>
    </w:p>
    <w:p w:rsidR="004E168F" w:rsidRPr="005C5A08" w:rsidRDefault="004E168F" w:rsidP="004E168F">
      <w:pPr>
        <w:autoSpaceDE w:val="0"/>
        <w:autoSpaceDN w:val="0"/>
        <w:adjustRightInd w:val="0"/>
        <w:rPr>
          <w:rFonts w:ascii="Tahoma" w:hAnsi="Tahoma" w:cs="Tahoma"/>
          <w:b/>
          <w:sz w:val="20"/>
          <w:szCs w:val="20"/>
          <w:u w:val="single"/>
        </w:rPr>
      </w:pPr>
      <w:r w:rsidRPr="005C5A08">
        <w:rPr>
          <w:rFonts w:ascii="Tahoma" w:hAnsi="Tahoma" w:cs="Tahoma"/>
          <w:b/>
          <w:color w:val="000000"/>
          <w:sz w:val="20"/>
          <w:szCs w:val="20"/>
          <w:u w:val="single"/>
        </w:rPr>
        <w:t>Έκθεση Ελέγχου επί των Οικονομικών Καταστάσεων</w:t>
      </w:r>
    </w:p>
    <w:p w:rsidR="004E168F" w:rsidRPr="005C5A08" w:rsidRDefault="004E168F" w:rsidP="004E168F">
      <w:pPr>
        <w:rPr>
          <w:rFonts w:ascii="Tahoma" w:hAnsi="Tahoma" w:cs="Tahoma"/>
          <w:b/>
          <w:bCs/>
          <w:sz w:val="20"/>
          <w:szCs w:val="20"/>
        </w:rPr>
      </w:pPr>
    </w:p>
    <w:p w:rsidR="004E168F" w:rsidRPr="005C5A08" w:rsidRDefault="004E168F" w:rsidP="004E168F">
      <w:pPr>
        <w:spacing w:after="240"/>
        <w:rPr>
          <w:rFonts w:ascii="Tahoma" w:hAnsi="Tahoma" w:cs="Tahoma"/>
          <w:b/>
          <w:bCs/>
          <w:sz w:val="20"/>
          <w:szCs w:val="20"/>
        </w:rPr>
      </w:pPr>
      <w:r w:rsidRPr="005C5A08">
        <w:rPr>
          <w:rFonts w:ascii="Tahoma" w:hAnsi="Tahoma" w:cs="Tahoma"/>
          <w:b/>
          <w:bCs/>
          <w:sz w:val="20"/>
          <w:szCs w:val="20"/>
        </w:rPr>
        <w:t xml:space="preserve">Γνώμη με επιφύλαξη </w:t>
      </w:r>
    </w:p>
    <w:p w:rsidR="004E168F" w:rsidRPr="005C5A08" w:rsidRDefault="004E168F" w:rsidP="004E168F">
      <w:pPr>
        <w:spacing w:before="240" w:after="240"/>
        <w:rPr>
          <w:rFonts w:ascii="Tahoma" w:hAnsi="Tahoma" w:cs="Tahoma"/>
          <w:sz w:val="20"/>
          <w:szCs w:val="20"/>
        </w:rPr>
      </w:pPr>
      <w:r w:rsidRPr="005C5A08">
        <w:rPr>
          <w:rFonts w:ascii="Tahoma" w:hAnsi="Tahoma" w:cs="Tahoma"/>
          <w:sz w:val="20"/>
          <w:szCs w:val="20"/>
        </w:rPr>
        <w:t xml:space="preserve">Έχουμε ελέγξει τις συνημμένες οικονομικές καταστάσεις της εταιρείας </w:t>
      </w:r>
      <w:r w:rsidRPr="005C5A08">
        <w:rPr>
          <w:rFonts w:ascii="Tahoma" w:hAnsi="Tahoma" w:cs="Tahoma"/>
          <w:b/>
          <w:bCs/>
          <w:iCs/>
          <w:sz w:val="20"/>
        </w:rPr>
        <w:t>«ΠΕΠΟΝΟΠΟΥΛΟΣ Α.Ε.»</w:t>
      </w:r>
      <w:r w:rsidRPr="005C5A08">
        <w:rPr>
          <w:rFonts w:ascii="Tahoma" w:hAnsi="Tahoma" w:cs="Tahoma"/>
          <w:sz w:val="20"/>
          <w:szCs w:val="20"/>
        </w:rPr>
        <w:t>, οι οποίες αποτελούνται από την κατάσταση χρηματοοικονομικής θέσης της 31</w:t>
      </w:r>
      <w:r w:rsidRPr="005C5A08">
        <w:rPr>
          <w:rFonts w:ascii="Tahoma" w:hAnsi="Tahoma" w:cs="Tahoma"/>
          <w:sz w:val="20"/>
          <w:szCs w:val="20"/>
          <w:vertAlign w:val="superscript"/>
        </w:rPr>
        <w:t>ης</w:t>
      </w:r>
      <w:r w:rsidRPr="005C5A08">
        <w:rPr>
          <w:rFonts w:ascii="Tahoma" w:hAnsi="Tahoma" w:cs="Tahoma"/>
          <w:sz w:val="20"/>
          <w:szCs w:val="20"/>
        </w:rPr>
        <w:t xml:space="preserve"> Δεκεμβρίου 201</w:t>
      </w:r>
      <w:r w:rsidRPr="005C5A08">
        <w:rPr>
          <w:rFonts w:ascii="Tahoma" w:hAnsi="Tahoma" w:cs="Tahoma"/>
          <w:sz w:val="20"/>
          <w:lang w:val="en-US"/>
        </w:rPr>
        <w:t>8</w:t>
      </w:r>
      <w:r w:rsidRPr="005C5A08">
        <w:rPr>
          <w:rFonts w:ascii="Tahoma" w:hAnsi="Tahoma" w:cs="Tahoma"/>
          <w:sz w:val="20"/>
          <w:szCs w:val="20"/>
        </w:rPr>
        <w:t xml:space="preserve">, τις καταστάσεις συνολικού εισοδήματος, μεταβολών ιδίων κεφαλαίων και ταμειακών ροών της χρήσεως που έληξε την ημερομηνία αυτή, καθώς και περίληψη </w:t>
      </w:r>
      <w:r w:rsidRPr="005C5A08">
        <w:rPr>
          <w:rFonts w:ascii="Tahoma" w:hAnsi="Tahoma" w:cs="Tahoma"/>
          <w:color w:val="000000"/>
          <w:sz w:val="20"/>
          <w:szCs w:val="20"/>
        </w:rPr>
        <w:t>σημαντικών λογιστικών αρχών και μεθόδων και λοιπές επεξηγηματικές πληροφορίες.</w:t>
      </w:r>
    </w:p>
    <w:p w:rsidR="004E168F" w:rsidRPr="005C5A08" w:rsidRDefault="004E168F" w:rsidP="004E168F">
      <w:pPr>
        <w:autoSpaceDE w:val="0"/>
        <w:autoSpaceDN w:val="0"/>
        <w:adjustRightInd w:val="0"/>
        <w:spacing w:before="240" w:after="240"/>
        <w:rPr>
          <w:rFonts w:ascii="Tahoma" w:hAnsi="Tahoma" w:cs="Tahoma"/>
          <w:color w:val="000000"/>
          <w:sz w:val="20"/>
          <w:szCs w:val="20"/>
          <w:lang w:val="en-US"/>
        </w:rPr>
      </w:pPr>
      <w:r w:rsidRPr="005C5A08">
        <w:rPr>
          <w:rFonts w:ascii="Tahoma" w:hAnsi="Tahoma" w:cs="Tahoma"/>
          <w:color w:val="000000"/>
          <w:sz w:val="20"/>
          <w:szCs w:val="20"/>
        </w:rPr>
        <w:t xml:space="preserve">Κατά τη </w:t>
      </w:r>
      <w:r w:rsidRPr="005C5A08">
        <w:rPr>
          <w:rFonts w:ascii="Tahoma" w:hAnsi="Tahoma" w:cs="Tahoma"/>
          <w:sz w:val="20"/>
          <w:szCs w:val="20"/>
        </w:rPr>
        <w:t>γνώμη μας, εκτός από τις επιπτώσεις του θέματος</w:t>
      </w:r>
      <w:r w:rsidRPr="005C5A08">
        <w:rPr>
          <w:rFonts w:ascii="Tahoma" w:hAnsi="Tahoma" w:cs="Tahoma"/>
          <w:color w:val="FF0000"/>
          <w:sz w:val="20"/>
          <w:szCs w:val="20"/>
        </w:rPr>
        <w:t xml:space="preserve"> </w:t>
      </w:r>
      <w:r w:rsidRPr="005C5A08">
        <w:rPr>
          <w:rFonts w:ascii="Tahoma" w:hAnsi="Tahoma" w:cs="Tahoma"/>
          <w:sz w:val="20"/>
          <w:szCs w:val="20"/>
        </w:rPr>
        <w:t xml:space="preserve">που μνημονεύεται στην παράγραφο της έκθεσής μας “Βάση για γνώμη με επιφύλαξη”, </w:t>
      </w:r>
      <w:r w:rsidRPr="005C5A08">
        <w:rPr>
          <w:rFonts w:ascii="Tahoma" w:hAnsi="Tahoma" w:cs="Tahoma"/>
          <w:color w:val="000000"/>
          <w:sz w:val="20"/>
          <w:szCs w:val="20"/>
        </w:rPr>
        <w:t xml:space="preserve">οι συνημμένες οικονομικές καταστάσεις παρουσιάζουν εύλογα, από κάθε ουσιώδη άποψη, την οικονομική θέση της εταιρείας </w:t>
      </w:r>
      <w:r w:rsidRPr="005C5A08">
        <w:rPr>
          <w:rFonts w:ascii="Tahoma" w:hAnsi="Tahoma" w:cs="Tahoma"/>
          <w:b/>
          <w:bCs/>
          <w:iCs/>
          <w:color w:val="000000"/>
          <w:sz w:val="20"/>
        </w:rPr>
        <w:t>«ΠΕΠΟΝΟΠΟΥΛΟΣ Α.Ε.»</w:t>
      </w:r>
      <w:r w:rsidRPr="005C5A08">
        <w:rPr>
          <w:rFonts w:ascii="Tahoma" w:hAnsi="Tahoma" w:cs="Tahoma"/>
          <w:color w:val="000000"/>
          <w:sz w:val="20"/>
          <w:szCs w:val="20"/>
        </w:rPr>
        <w:t xml:space="preserve"> κατά την 31</w:t>
      </w:r>
      <w:r w:rsidRPr="005C5A08">
        <w:rPr>
          <w:rFonts w:ascii="Tahoma" w:hAnsi="Tahoma" w:cs="Tahoma"/>
          <w:color w:val="000000"/>
          <w:sz w:val="20"/>
          <w:szCs w:val="20"/>
          <w:vertAlign w:val="superscript"/>
        </w:rPr>
        <w:t>η</w:t>
      </w:r>
      <w:r w:rsidRPr="005C5A08">
        <w:rPr>
          <w:rFonts w:ascii="Tahoma" w:hAnsi="Tahoma" w:cs="Tahoma"/>
          <w:color w:val="000000"/>
          <w:sz w:val="20"/>
          <w:szCs w:val="20"/>
        </w:rPr>
        <w:t xml:space="preserve"> Δεκεμβρίου 201</w:t>
      </w:r>
      <w:r>
        <w:rPr>
          <w:rFonts w:ascii="Tahoma" w:hAnsi="Tahoma" w:cs="Tahoma"/>
          <w:color w:val="000000"/>
          <w:sz w:val="20"/>
          <w:lang w:val="en-US"/>
        </w:rPr>
        <w:t>8</w:t>
      </w:r>
      <w:r w:rsidRPr="005C5A08">
        <w:rPr>
          <w:rFonts w:ascii="Tahoma" w:hAnsi="Tahoma" w:cs="Tahoma"/>
          <w:color w:val="000000"/>
          <w:sz w:val="20"/>
          <w:szCs w:val="20"/>
        </w:rPr>
        <w:t>, τη χρηματοοικονομική τ</w:t>
      </w:r>
      <w:r>
        <w:rPr>
          <w:rFonts w:ascii="Tahoma" w:hAnsi="Tahoma" w:cs="Tahoma"/>
          <w:color w:val="000000"/>
          <w:sz w:val="20"/>
        </w:rPr>
        <w:t>ης</w:t>
      </w:r>
      <w:r w:rsidRPr="005C5A08">
        <w:rPr>
          <w:rFonts w:ascii="Tahoma" w:hAnsi="Tahoma" w:cs="Tahoma"/>
          <w:color w:val="000000"/>
          <w:sz w:val="20"/>
          <w:szCs w:val="20"/>
        </w:rPr>
        <w:t xml:space="preserve"> επίδοση και τις ταμειακές τ</w:t>
      </w:r>
      <w:r>
        <w:rPr>
          <w:rFonts w:ascii="Tahoma" w:hAnsi="Tahoma" w:cs="Tahoma"/>
          <w:color w:val="000000"/>
          <w:sz w:val="20"/>
        </w:rPr>
        <w:t>ης</w:t>
      </w:r>
      <w:r w:rsidRPr="005C5A08">
        <w:rPr>
          <w:rFonts w:ascii="Tahoma" w:hAnsi="Tahoma" w:cs="Tahoma"/>
          <w:color w:val="000000"/>
          <w:sz w:val="20"/>
          <w:szCs w:val="20"/>
        </w:rPr>
        <w:t xml:space="preserve">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r>
        <w:rPr>
          <w:rFonts w:ascii="Tahoma" w:hAnsi="Tahoma" w:cs="Tahoma"/>
          <w:color w:val="000000"/>
          <w:sz w:val="20"/>
          <w:lang w:val="en-US"/>
        </w:rPr>
        <w:t>.</w:t>
      </w:r>
    </w:p>
    <w:p w:rsidR="004E168F" w:rsidRPr="005C5A08" w:rsidRDefault="004E168F" w:rsidP="004E168F">
      <w:pPr>
        <w:rPr>
          <w:rFonts w:ascii="Tahoma" w:hAnsi="Tahoma" w:cs="Tahoma"/>
          <w:b/>
          <w:bCs/>
          <w:sz w:val="20"/>
          <w:szCs w:val="20"/>
        </w:rPr>
      </w:pPr>
    </w:p>
    <w:p w:rsidR="004E168F" w:rsidRPr="005C5A08" w:rsidRDefault="004E168F" w:rsidP="004E168F">
      <w:pPr>
        <w:spacing w:after="240"/>
        <w:rPr>
          <w:rFonts w:ascii="Tahoma" w:hAnsi="Tahoma" w:cs="Tahoma"/>
          <w:b/>
          <w:bCs/>
          <w:sz w:val="20"/>
          <w:szCs w:val="20"/>
        </w:rPr>
      </w:pPr>
      <w:r w:rsidRPr="005C5A08">
        <w:rPr>
          <w:rFonts w:ascii="Tahoma" w:hAnsi="Tahoma" w:cs="Tahoma"/>
          <w:b/>
          <w:bCs/>
          <w:sz w:val="20"/>
          <w:szCs w:val="20"/>
        </w:rPr>
        <w:t xml:space="preserve">Βάση για γνώμη με επιφύλαξη </w:t>
      </w:r>
    </w:p>
    <w:p w:rsidR="004E168F" w:rsidRDefault="004E168F" w:rsidP="004E168F">
      <w:pPr>
        <w:autoSpaceDE w:val="0"/>
        <w:autoSpaceDN w:val="0"/>
        <w:adjustRightInd w:val="0"/>
        <w:rPr>
          <w:rFonts w:ascii="Tahoma" w:hAnsi="Tahoma" w:cs="Tahoma"/>
          <w:color w:val="000000" w:themeColor="text1"/>
          <w:sz w:val="20"/>
        </w:rPr>
      </w:pPr>
      <w:r w:rsidRPr="005C5A08">
        <w:rPr>
          <w:rFonts w:ascii="Tahoma" w:hAnsi="Tahoma" w:cs="Tahoma"/>
          <w:color w:val="000000" w:themeColor="text1"/>
          <w:sz w:val="20"/>
        </w:rPr>
        <w:t>Από τον έλεγχό μας προέκυψε ότι οι φορολογικές υποχρεώσεις της εταιρείας δεν έχουν εξετασθεί από τις φορολογικές αρχές για τις χρήσεις 201</w:t>
      </w:r>
      <w:r>
        <w:rPr>
          <w:rFonts w:ascii="Tahoma" w:hAnsi="Tahoma" w:cs="Tahoma"/>
          <w:color w:val="000000" w:themeColor="text1"/>
          <w:sz w:val="20"/>
        </w:rPr>
        <w:t>1</w:t>
      </w:r>
      <w:r w:rsidRPr="005C5A08">
        <w:rPr>
          <w:rFonts w:ascii="Tahoma" w:hAnsi="Tahoma" w:cs="Tahoma"/>
          <w:color w:val="000000" w:themeColor="text1"/>
          <w:sz w:val="20"/>
        </w:rPr>
        <w:t xml:space="preserve"> έως 201</w:t>
      </w:r>
      <w:r>
        <w:rPr>
          <w:rFonts w:ascii="Tahoma" w:hAnsi="Tahoma" w:cs="Tahoma"/>
          <w:color w:val="000000" w:themeColor="text1"/>
          <w:sz w:val="20"/>
          <w:lang w:val="en-US"/>
        </w:rPr>
        <w:t>8</w:t>
      </w:r>
      <w:r w:rsidRPr="005C5A08">
        <w:rPr>
          <w:rFonts w:ascii="Tahoma" w:hAnsi="Tahoma" w:cs="Tahoma"/>
          <w:color w:val="000000" w:themeColor="text1"/>
          <w:sz w:val="20"/>
        </w:rPr>
        <w:t>. Ως εκ τούτου τα φορολογικά αποτελέσματα των χρήσεων αυτών δεν έχουν καταστεί οριστικά. Η εταιρεία δεν έχει προβεί σε εκτίμηση των πρόσθετων φόρων και των προσαυξήσεων που πιθανόν να καταλογιστούν σε μελλοντικό φορολογικό έλεγχο και δεν έχει σχηματίσει σχετική πρόβλεψη για την ενδεχόμενη αυτή υποχρέωση. Από τον έλεγχο μας, δεν έχουμε αποκτήσει εύλογη διασφάλιση σχετικά με την εκτίμηση του ύψους της πρόβλεψης που τυχόν απαιτείται.</w:t>
      </w:r>
    </w:p>
    <w:p w:rsidR="004E168F" w:rsidRPr="005C5A08" w:rsidRDefault="004E168F" w:rsidP="004E168F">
      <w:pPr>
        <w:autoSpaceDE w:val="0"/>
        <w:autoSpaceDN w:val="0"/>
        <w:adjustRightInd w:val="0"/>
        <w:rPr>
          <w:rFonts w:ascii="Tahoma" w:hAnsi="Tahoma" w:cs="Tahoma"/>
          <w:color w:val="000000" w:themeColor="text1"/>
          <w:spacing w:val="2"/>
          <w:sz w:val="20"/>
          <w:szCs w:val="20"/>
        </w:rPr>
      </w:pPr>
    </w:p>
    <w:p w:rsidR="004E168F" w:rsidRPr="005C5A08" w:rsidRDefault="004E168F" w:rsidP="004E168F">
      <w:pPr>
        <w:spacing w:after="240"/>
        <w:rPr>
          <w:rFonts w:ascii="Tahoma" w:hAnsi="Tahoma" w:cs="Tahoma"/>
          <w:sz w:val="20"/>
          <w:szCs w:val="20"/>
        </w:rPr>
      </w:pPr>
      <w:r w:rsidRPr="005C5A08">
        <w:rPr>
          <w:rFonts w:ascii="Tahoma" w:hAnsi="Tahoma" w:cs="Tahoma"/>
          <w:sz w:val="20"/>
          <w:szCs w:val="20"/>
        </w:rPr>
        <w:t xml:space="preserve">Διενεργήσαμε τον έλεγχό μας σύμφωνα με τα Διεθνή Πρότυπα Ελέγχου (ΔΠΕ) όπως αυτά </w:t>
      </w:r>
      <w:r w:rsidRPr="005C5A08">
        <w:rPr>
          <w:rFonts w:ascii="Tahoma" w:hAnsi="Tahoma" w:cs="Tahoma"/>
          <w:color w:val="000000"/>
          <w:sz w:val="20"/>
          <w:szCs w:val="20"/>
        </w:rPr>
        <w:t>έχουν ενσωματωθεί στην Ελληνική Νομοθεσία</w:t>
      </w:r>
      <w:r w:rsidRPr="005C5A08">
        <w:rPr>
          <w:rFonts w:ascii="Tahoma" w:hAnsi="Tahoma" w:cs="Tahoma"/>
          <w:sz w:val="20"/>
          <w:szCs w:val="20"/>
        </w:rPr>
        <w:t>. Οι ευθύνες μας, σύμφωνα με τα πρότυπα αυτά περιγράφονται περαιτέρω στην ενότητα της έκθεσής μας “</w:t>
      </w:r>
      <w:r w:rsidRPr="005C5A08">
        <w:rPr>
          <w:rFonts w:ascii="Tahoma" w:hAnsi="Tahoma" w:cs="Tahoma"/>
          <w:iCs/>
          <w:sz w:val="20"/>
          <w:szCs w:val="20"/>
        </w:rPr>
        <w:t>Ευθύνες ελεγκτή για τον έλεγχο των οικονομικών καταστάσεων</w:t>
      </w:r>
      <w:r w:rsidRPr="005C5A08">
        <w:rPr>
          <w:rFonts w:ascii="Tahoma" w:hAnsi="Tahoma" w:cs="Tahoma"/>
          <w:sz w:val="20"/>
          <w:szCs w:val="20"/>
        </w:rPr>
        <w:t>”. Είμαστε ανεξάρτητοι από την Εταιρεία, καθόλη τη διάρκεια του διορισμού μας, 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τις απαιτήσεις δεοντολογίας που σχετίζονται με τον έλεγχο των οικονομικών καταστάσεων στην Ελλάδα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 Πιστεύουμε ότι τα ελεγκτικά τεκμήρια που έχουμε αποκτήσει είναι επαρκή και κατάλληλα να παρέχουν βάση για γνώμη με επιφύλαξη.</w:t>
      </w:r>
    </w:p>
    <w:p w:rsidR="004E168F" w:rsidRPr="005C5A08" w:rsidRDefault="004E168F" w:rsidP="004E168F">
      <w:pPr>
        <w:rPr>
          <w:rFonts w:ascii="Tahoma" w:hAnsi="Tahoma" w:cs="Tahoma"/>
          <w:b/>
          <w:sz w:val="20"/>
          <w:szCs w:val="20"/>
        </w:rPr>
      </w:pPr>
    </w:p>
    <w:p w:rsidR="004E168F" w:rsidRDefault="004E168F" w:rsidP="004E168F">
      <w:pPr>
        <w:rPr>
          <w:rFonts w:ascii="Tahoma" w:hAnsi="Tahoma" w:cs="Tahoma"/>
          <w:b/>
          <w:sz w:val="20"/>
        </w:rPr>
      </w:pPr>
      <w:r w:rsidRPr="005C5A08">
        <w:rPr>
          <w:rFonts w:ascii="Tahoma" w:hAnsi="Tahoma" w:cs="Tahoma"/>
          <w:b/>
          <w:sz w:val="20"/>
        </w:rPr>
        <w:t>Άλλες πληροφορίες</w:t>
      </w:r>
    </w:p>
    <w:p w:rsidR="004E168F" w:rsidRDefault="004E168F" w:rsidP="004E168F">
      <w:pPr>
        <w:rPr>
          <w:rFonts w:ascii="Tahoma" w:hAnsi="Tahoma" w:cs="Tahoma"/>
          <w:b/>
          <w:sz w:val="20"/>
        </w:rPr>
      </w:pPr>
    </w:p>
    <w:p w:rsidR="004E168F" w:rsidRPr="005C5A08" w:rsidRDefault="004E168F" w:rsidP="004E168F">
      <w:pPr>
        <w:rPr>
          <w:rFonts w:ascii="Tahoma" w:hAnsi="Tahoma" w:cs="Tahoma"/>
          <w:b/>
          <w:sz w:val="20"/>
        </w:rPr>
      </w:pPr>
    </w:p>
    <w:p w:rsidR="004E168F" w:rsidRPr="005C5A08" w:rsidRDefault="004E168F" w:rsidP="004E168F">
      <w:pPr>
        <w:rPr>
          <w:rFonts w:ascii="Tahoma" w:hAnsi="Tahoma" w:cs="Tahoma"/>
          <w:bCs/>
          <w:sz w:val="20"/>
        </w:rPr>
      </w:pPr>
      <w:r w:rsidRPr="005C5A08">
        <w:rPr>
          <w:rFonts w:ascii="Tahoma" w:hAnsi="Tahoma" w:cs="Tahoma"/>
          <w:bCs/>
          <w:sz w:val="20"/>
        </w:rPr>
        <w:t>Η διοίκηση είναι υπεύθυνη για τις άλλες πληροφορίες. Οι άλλες πληροφορίες περιλαμβάνονται στην Έκθεση Διαχείρισης του Διοικητικού Συμβουλίου, για την οποία γίνεται σχετική αναφορά στην “Έκθεση επί Άλλων Νομικών και Κανονιστικών Απαιτήσεων”, αλλά δεν περιλαμβάνουν τις οικονομικές καταστάσεις και την έκθεση ελέγχου επί αυτών.</w:t>
      </w:r>
    </w:p>
    <w:p w:rsidR="004E168F" w:rsidRDefault="004E168F" w:rsidP="004E168F">
      <w:pPr>
        <w:rPr>
          <w:rFonts w:ascii="Tahoma" w:hAnsi="Tahoma" w:cs="Tahoma"/>
          <w:bCs/>
          <w:sz w:val="20"/>
        </w:rPr>
      </w:pPr>
      <w:r w:rsidRPr="005C5A08">
        <w:rPr>
          <w:rFonts w:ascii="Tahoma" w:hAnsi="Tahoma" w:cs="Tahoma"/>
          <w:bCs/>
          <w:sz w:val="20"/>
        </w:rPr>
        <w:t>Η γνώμη μας επί των εταιρικών οικονομικών καταστάσεων δεν καλύπτει τις άλλες πληροφορίες και δεν εκφράζουμε με τη γνώμη αυτή οποιαδήποτε μορφής συμπέρασμα διασφάλισης επί αυτών.</w:t>
      </w:r>
    </w:p>
    <w:p w:rsidR="004E168F" w:rsidRPr="005C5A08" w:rsidRDefault="004E168F" w:rsidP="004E168F">
      <w:pPr>
        <w:rPr>
          <w:rFonts w:ascii="Tahoma" w:hAnsi="Tahoma" w:cs="Tahoma"/>
          <w:bCs/>
          <w:sz w:val="20"/>
        </w:rPr>
      </w:pPr>
    </w:p>
    <w:p w:rsidR="004E168F" w:rsidRDefault="004E168F" w:rsidP="004E168F">
      <w:pPr>
        <w:rPr>
          <w:rFonts w:ascii="Tahoma" w:hAnsi="Tahoma" w:cs="Tahoma"/>
          <w:bCs/>
          <w:sz w:val="20"/>
        </w:rPr>
      </w:pPr>
      <w:r w:rsidRPr="005C5A08">
        <w:rPr>
          <w:rFonts w:ascii="Tahoma" w:hAnsi="Tahoma" w:cs="Tahoma"/>
          <w:bCs/>
          <w:sz w:val="20"/>
        </w:rPr>
        <w:t>Σε σχέση με τον έλεγχό μας επί των οικονομικών καταστάσεων, η ευθύνη μας είναι να αναγνώσουμε τις άλλες πληροφορίες και, με τον τρόπο αυτό, να εξετάσουμε εάν οι άλλες πληροφορίες είναι ουσιωδώς ασυνεπείς με τις  οικονομικές καταστάσεις ή τις γνώσεις που αποκτήσαμε κατά τον έλεγχο ή αλλιώς φαίνεται να είναι ουσιωδώς εσφαλμένες. Εάν, με βάση τις εργασίες που έχουμε εκτελέσει, καταλήξουμε στο συμπέρασμα ότι υπάρχει ουσιώδες σφάλμα σε αυτές τις άλλες πληροφορίες, είμαστε υποχρεωμένοι να αναφέρουμε το γεγονός αυτό. Δεν έχουμε τίποτα να αναφέρουμε σχετικά με το  θέμα αυτό.</w:t>
      </w:r>
    </w:p>
    <w:p w:rsidR="004E168F" w:rsidRPr="005C5A08" w:rsidRDefault="004E168F" w:rsidP="004E168F">
      <w:pPr>
        <w:rPr>
          <w:rFonts w:ascii="Tahoma" w:hAnsi="Tahoma" w:cs="Tahoma"/>
          <w:bCs/>
          <w:sz w:val="20"/>
          <w:szCs w:val="20"/>
        </w:rPr>
      </w:pPr>
    </w:p>
    <w:p w:rsidR="004E168F" w:rsidRDefault="004E168F" w:rsidP="004E168F">
      <w:pPr>
        <w:rPr>
          <w:rFonts w:ascii="Tahoma" w:hAnsi="Tahoma" w:cs="Tahoma"/>
          <w:b/>
          <w:sz w:val="20"/>
        </w:rPr>
      </w:pPr>
      <w:r w:rsidRPr="005C5A08">
        <w:rPr>
          <w:rFonts w:ascii="Tahoma" w:hAnsi="Tahoma" w:cs="Tahoma"/>
          <w:b/>
          <w:sz w:val="20"/>
          <w:szCs w:val="20"/>
        </w:rPr>
        <w:t>Ευθύνες της διοίκησης επί των οικονομικών καταστάσεων</w:t>
      </w:r>
    </w:p>
    <w:p w:rsidR="004E168F" w:rsidRPr="005C5A08" w:rsidRDefault="004E168F" w:rsidP="004E168F">
      <w:pPr>
        <w:rPr>
          <w:rFonts w:ascii="Tahoma" w:hAnsi="Tahoma" w:cs="Tahoma"/>
          <w:bCs/>
          <w:iCs/>
          <w:sz w:val="20"/>
          <w:szCs w:val="20"/>
        </w:rPr>
      </w:pPr>
    </w:p>
    <w:p w:rsidR="004E168F" w:rsidRPr="005C5A08" w:rsidRDefault="004E168F" w:rsidP="004E168F">
      <w:pPr>
        <w:spacing w:after="240"/>
        <w:rPr>
          <w:rFonts w:ascii="Tahoma" w:hAnsi="Tahoma" w:cs="Tahoma"/>
          <w:sz w:val="20"/>
          <w:szCs w:val="20"/>
        </w:rPr>
      </w:pPr>
      <w:r w:rsidRPr="005C5A08">
        <w:rPr>
          <w:rFonts w:ascii="Tahoma" w:hAnsi="Tahoma" w:cs="Tahoma"/>
          <w:sz w:val="20"/>
          <w:szCs w:val="20"/>
        </w:rPr>
        <w:t xml:space="preserve">Η διοίκηση έχει την ευθύνη για την κατάρτιση και εύλογη παρουσίαση των καταστάσεων σύμφωνα με τα ΔΠΧΑ </w:t>
      </w:r>
      <w:r w:rsidRPr="005C5A08">
        <w:rPr>
          <w:rFonts w:ascii="Tahoma" w:hAnsi="Tahoma" w:cs="Tahoma"/>
          <w:color w:val="000000"/>
          <w:sz w:val="20"/>
          <w:szCs w:val="20"/>
        </w:rPr>
        <w:t>όπως αυτά έχουν υιοθετηθεί από την Ευρωπαϊκή Ένωση</w:t>
      </w:r>
      <w:r w:rsidRPr="005C5A08">
        <w:rPr>
          <w:rFonts w:ascii="Tahoma" w:hAnsi="Tahoma" w:cs="Tahoma"/>
          <w:sz w:val="20"/>
          <w:szCs w:val="20"/>
        </w:rPr>
        <w:t>, όπως και για εκείνες τις δικλίδες εσωτερικού ελέγχου που η διοίκηση καθορίζει ως απαραίτητες, ώστε να καθίσταται δυνατή η κατάρτιση των οικονομικών καταστάσεων απαλλαγμένων από ουσιώδες σφάλμα, που οφείλεται είτε σε απάτη είτε σε λάθος.</w:t>
      </w:r>
    </w:p>
    <w:p w:rsidR="004E168F" w:rsidRPr="005C5A08" w:rsidRDefault="004E168F" w:rsidP="004E168F">
      <w:pPr>
        <w:spacing w:after="240"/>
        <w:rPr>
          <w:rFonts w:ascii="Tahoma" w:hAnsi="Tahoma" w:cs="Tahoma"/>
          <w:sz w:val="20"/>
          <w:szCs w:val="20"/>
        </w:rPr>
      </w:pPr>
      <w:r w:rsidRPr="005C5A08">
        <w:rPr>
          <w:rFonts w:ascii="Tahoma" w:hAnsi="Tahoma" w:cs="Tahoma"/>
          <w:sz w:val="20"/>
          <w:szCs w:val="20"/>
        </w:rPr>
        <w:t>Κατά την κατάρτιση των οικονομικών καταστάσεων, η διοίκηση είναι υπεύθυνη για την αξιολόγηση της ικανότητας της Εταιρείας να συνεχίσει τη δραστηριότητά της, γνωστοποιώντας όπου συντρέχει τέτοια περίπτωση, τα θέματα που σχετίζονται με τη συνεχιζόμενη δραστηριότητα και τη χρήση της λογιστικής αρχής της συνεχιζόμενης δραστηριότητας, εκτός και εάν η διοίκηση είτε προτίθεται να ρευστοποιήσει την Εταιρεία ή να διακόψει τη δραστηριότητά της ή δεν έχει άλλη ρεαλιστική εναλλακτική επιλογή από το να προβεί σ ’αυτές τις ενέργειες.</w:t>
      </w:r>
    </w:p>
    <w:p w:rsidR="004E168F" w:rsidRPr="005C5A08" w:rsidRDefault="004E168F" w:rsidP="004E168F">
      <w:pPr>
        <w:rPr>
          <w:rFonts w:ascii="Tahoma" w:hAnsi="Tahoma" w:cs="Tahoma"/>
          <w:sz w:val="20"/>
          <w:szCs w:val="20"/>
        </w:rPr>
      </w:pPr>
    </w:p>
    <w:p w:rsidR="004E168F" w:rsidRPr="005C5A08" w:rsidRDefault="004E168F" w:rsidP="004E168F">
      <w:pPr>
        <w:spacing w:after="240"/>
        <w:rPr>
          <w:rFonts w:ascii="Tahoma" w:hAnsi="Tahoma" w:cs="Tahoma"/>
          <w:b/>
          <w:iCs/>
          <w:sz w:val="20"/>
          <w:szCs w:val="20"/>
        </w:rPr>
      </w:pPr>
      <w:r w:rsidRPr="005C5A08">
        <w:rPr>
          <w:rFonts w:ascii="Tahoma" w:hAnsi="Tahoma" w:cs="Tahoma"/>
          <w:b/>
          <w:iCs/>
          <w:sz w:val="20"/>
          <w:szCs w:val="20"/>
        </w:rPr>
        <w:t>Ευθύνες ελεγκτή για τον έλεγχο των οικονομικών καταστάσεων</w:t>
      </w:r>
    </w:p>
    <w:p w:rsidR="004E168F" w:rsidRPr="005C5A08" w:rsidRDefault="004E168F" w:rsidP="004E168F">
      <w:pPr>
        <w:spacing w:after="240"/>
        <w:rPr>
          <w:rFonts w:ascii="Tahoma" w:hAnsi="Tahoma" w:cs="Tahoma"/>
          <w:sz w:val="20"/>
          <w:szCs w:val="20"/>
        </w:rPr>
      </w:pPr>
      <w:r w:rsidRPr="005C5A08">
        <w:rPr>
          <w:rFonts w:ascii="Tahoma" w:hAnsi="Tahoma" w:cs="Tahoma"/>
          <w:sz w:val="20"/>
          <w:szCs w:val="20"/>
        </w:rPr>
        <w:t xml:space="preserve">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w:t>
      </w:r>
      <w:r w:rsidRPr="005C5A08">
        <w:rPr>
          <w:rFonts w:ascii="Tahoma" w:hAnsi="Tahoma" w:cs="Tahoma"/>
          <w:color w:val="000000"/>
          <w:sz w:val="20"/>
          <w:szCs w:val="20"/>
        </w:rPr>
        <w:t>έχουν ενσωματωθεί στην Ελληνική Νομοθεσία</w:t>
      </w:r>
      <w:r w:rsidRPr="005C5A08">
        <w:rPr>
          <w:rFonts w:ascii="Tahoma" w:hAnsi="Tahoma" w:cs="Tahoma"/>
          <w:sz w:val="20"/>
          <w:szCs w:val="20"/>
        </w:rPr>
        <w:t xml:space="preserve">,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 </w:t>
      </w:r>
    </w:p>
    <w:p w:rsidR="004E168F" w:rsidRPr="005C5A08" w:rsidRDefault="004E168F" w:rsidP="004E168F">
      <w:pPr>
        <w:spacing w:after="240"/>
        <w:rPr>
          <w:rFonts w:ascii="Tahoma" w:hAnsi="Tahoma" w:cs="Tahoma"/>
          <w:sz w:val="20"/>
          <w:szCs w:val="20"/>
        </w:rPr>
      </w:pPr>
      <w:r w:rsidRPr="005C5A08">
        <w:rPr>
          <w:rFonts w:ascii="Tahoma" w:hAnsi="Tahoma" w:cs="Tahoma"/>
          <w:sz w:val="20"/>
          <w:szCs w:val="20"/>
        </w:rPr>
        <w:t>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Επίσης:</w:t>
      </w:r>
    </w:p>
    <w:p w:rsidR="004E168F" w:rsidRPr="005C5A08" w:rsidRDefault="004E168F" w:rsidP="004E168F">
      <w:pPr>
        <w:pStyle w:val="ListParagraph"/>
        <w:numPr>
          <w:ilvl w:val="0"/>
          <w:numId w:val="50"/>
        </w:numPr>
        <w:spacing w:before="240"/>
        <w:ind w:left="284" w:hanging="284"/>
        <w:contextualSpacing/>
        <w:jc w:val="both"/>
        <w:rPr>
          <w:rFonts w:ascii="Tahoma" w:hAnsi="Tahoma" w:cs="Tahoma"/>
          <w:sz w:val="20"/>
          <w:szCs w:val="20"/>
        </w:rPr>
      </w:pPr>
      <w:r w:rsidRPr="005C5A08">
        <w:rPr>
          <w:rFonts w:ascii="Tahoma" w:hAnsi="Tahoma" w:cs="Tahoma"/>
          <w:sz w:val="20"/>
          <w:szCs w:val="20"/>
        </w:rPr>
        <w:t>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w:t>
      </w:r>
    </w:p>
    <w:p w:rsidR="004E168F" w:rsidRPr="005C5A08" w:rsidRDefault="004E168F" w:rsidP="004E168F">
      <w:pPr>
        <w:pStyle w:val="ListParagraph"/>
        <w:ind w:left="284"/>
        <w:jc w:val="both"/>
        <w:rPr>
          <w:rFonts w:ascii="Tahoma" w:hAnsi="Tahoma" w:cs="Tahoma"/>
          <w:sz w:val="20"/>
          <w:szCs w:val="20"/>
        </w:rPr>
      </w:pPr>
    </w:p>
    <w:p w:rsidR="004E168F" w:rsidRPr="005C5A08" w:rsidRDefault="004E168F" w:rsidP="004E168F">
      <w:pPr>
        <w:pStyle w:val="ListParagraph"/>
        <w:numPr>
          <w:ilvl w:val="0"/>
          <w:numId w:val="50"/>
        </w:numPr>
        <w:spacing w:after="200"/>
        <w:ind w:left="284" w:hanging="284"/>
        <w:contextualSpacing/>
        <w:jc w:val="both"/>
        <w:rPr>
          <w:rFonts w:ascii="Tahoma" w:hAnsi="Tahoma" w:cs="Tahoma"/>
          <w:sz w:val="20"/>
          <w:szCs w:val="20"/>
        </w:rPr>
      </w:pPr>
      <w:r w:rsidRPr="005C5A08">
        <w:rPr>
          <w:rFonts w:ascii="Tahoma" w:hAnsi="Tahoma" w:cs="Tahoma"/>
          <w:sz w:val="20"/>
          <w:szCs w:val="20"/>
        </w:rPr>
        <w:t>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 διατύπωση γνώμης επί της αποτελεσματικότητας των δικλίδων εσωτερικού ελέγχου της Εταιρείας.</w:t>
      </w:r>
    </w:p>
    <w:p w:rsidR="004E168F" w:rsidRPr="005C5A08" w:rsidRDefault="004E168F" w:rsidP="004E168F">
      <w:pPr>
        <w:pStyle w:val="ListParagraph"/>
        <w:ind w:left="284"/>
        <w:jc w:val="both"/>
        <w:rPr>
          <w:rFonts w:ascii="Tahoma" w:hAnsi="Tahoma" w:cs="Tahoma"/>
          <w:sz w:val="20"/>
          <w:szCs w:val="20"/>
        </w:rPr>
      </w:pPr>
    </w:p>
    <w:p w:rsidR="004E168F" w:rsidRPr="005C5A08" w:rsidRDefault="004E168F" w:rsidP="004E168F">
      <w:pPr>
        <w:pStyle w:val="ListParagraph"/>
        <w:numPr>
          <w:ilvl w:val="0"/>
          <w:numId w:val="50"/>
        </w:numPr>
        <w:spacing w:after="200"/>
        <w:ind w:left="284" w:hanging="284"/>
        <w:contextualSpacing/>
        <w:jc w:val="both"/>
        <w:rPr>
          <w:rFonts w:ascii="Tahoma" w:hAnsi="Tahoma" w:cs="Tahoma"/>
          <w:sz w:val="20"/>
          <w:szCs w:val="20"/>
        </w:rPr>
      </w:pPr>
      <w:r w:rsidRPr="005C5A08">
        <w:rPr>
          <w:rFonts w:ascii="Tahoma" w:hAnsi="Tahoma" w:cs="Tahoma"/>
          <w:sz w:val="20"/>
          <w:szCs w:val="20"/>
        </w:rPr>
        <w:t xml:space="preserve">Αξιολογούμε την καταλληλότητα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 </w:t>
      </w:r>
    </w:p>
    <w:p w:rsidR="004E168F" w:rsidRPr="005C5A08" w:rsidRDefault="004E168F" w:rsidP="004E168F">
      <w:pPr>
        <w:pStyle w:val="ListParagraph"/>
        <w:ind w:left="284"/>
        <w:jc w:val="both"/>
        <w:rPr>
          <w:rFonts w:ascii="Tahoma" w:hAnsi="Tahoma" w:cs="Tahoma"/>
          <w:sz w:val="20"/>
          <w:szCs w:val="20"/>
        </w:rPr>
      </w:pPr>
    </w:p>
    <w:p w:rsidR="004E168F" w:rsidRPr="005C5A08" w:rsidRDefault="004E168F" w:rsidP="004E168F">
      <w:pPr>
        <w:pStyle w:val="ListParagraph"/>
        <w:numPr>
          <w:ilvl w:val="0"/>
          <w:numId w:val="50"/>
        </w:numPr>
        <w:spacing w:after="200"/>
        <w:ind w:left="284" w:hanging="284"/>
        <w:contextualSpacing/>
        <w:jc w:val="both"/>
        <w:rPr>
          <w:rFonts w:ascii="Tahoma" w:hAnsi="Tahoma" w:cs="Tahoma"/>
          <w:sz w:val="20"/>
          <w:szCs w:val="20"/>
        </w:rPr>
      </w:pPr>
      <w:r w:rsidRPr="005C5A08">
        <w:rPr>
          <w:rFonts w:ascii="Tahoma" w:hAnsi="Tahoma" w:cs="Tahoma"/>
          <w:sz w:val="20"/>
          <w:szCs w:val="20"/>
        </w:rPr>
        <w:t xml:space="preserve">Αποφαινόμαστε για την καταλληλότητα της χρήσης από τη διοίκηση της λογιστικής αρχής της συνεχιζόμενης δραστηριότητας και με βάση τα ελεγκτικά τεκμήρια που αποκτήθηκαν για το εάν υπάρχει ουσιώδης αβεβαιότητα σχετικά με γεγονότα ή συνθήκες που μπορεί να υποδηλώνουν </w:t>
      </w:r>
      <w:r w:rsidRPr="005C5A08">
        <w:rPr>
          <w:rFonts w:ascii="Tahoma" w:hAnsi="Tahoma" w:cs="Tahoma"/>
          <w:sz w:val="20"/>
          <w:szCs w:val="20"/>
        </w:rPr>
        <w:lastRenderedPageBreak/>
        <w:t>ουσιώδη αβεβαιότητα ως προς την ικανότητα της Εταιρείας να συνεχίσει τη δραστηριότητά της. Εάν συμπεράνουμε ότι υφίσταται ουσιώδης αβεβαιότητα, είμαστε υποχρεωμένοι στην έκθεση ελεγκτή να επιστήσουμε την προσοχή στις σχετικές γνωστοποιήσεις των οικονομικών καταστάσεων ή εάν αυτές οι γνωστοποιήσεις είναι ανεπαρκείς να διαφοροποιήσουμε τη γνώμη μας. Τα συμπεράσματά μας βασίζονται σε ελεγκτικά τεκμήρια που αποκτώνται μέχρι την ημερομηνία της έκθεσης ελεγκτή. Ωστόσο, μελλοντικά γεγονότα ή συνθήκες ενδέχεται να έχουν ως αποτέλεσμα η Εταιρεία να παύσει να λειτουργεί ως συνεχιζόμενη δραστηριότητα.</w:t>
      </w:r>
    </w:p>
    <w:p w:rsidR="004E168F" w:rsidRPr="005C5A08" w:rsidRDefault="004E168F" w:rsidP="004E168F">
      <w:pPr>
        <w:pStyle w:val="ListParagraph"/>
        <w:ind w:left="284"/>
        <w:jc w:val="both"/>
        <w:rPr>
          <w:rFonts w:ascii="Tahoma" w:hAnsi="Tahoma" w:cs="Tahoma"/>
          <w:sz w:val="20"/>
          <w:szCs w:val="20"/>
        </w:rPr>
      </w:pPr>
    </w:p>
    <w:p w:rsidR="004E168F" w:rsidRPr="005C5A08" w:rsidRDefault="004E168F" w:rsidP="004E168F">
      <w:pPr>
        <w:pStyle w:val="ListParagraph"/>
        <w:numPr>
          <w:ilvl w:val="0"/>
          <w:numId w:val="50"/>
        </w:numPr>
        <w:spacing w:after="200"/>
        <w:ind w:left="284" w:hanging="284"/>
        <w:contextualSpacing/>
        <w:jc w:val="both"/>
        <w:rPr>
          <w:rFonts w:ascii="Tahoma" w:hAnsi="Tahoma" w:cs="Tahoma"/>
          <w:sz w:val="20"/>
          <w:szCs w:val="20"/>
        </w:rPr>
      </w:pPr>
      <w:r w:rsidRPr="005C5A08">
        <w:rPr>
          <w:rFonts w:ascii="Tahoma" w:hAnsi="Tahoma" w:cs="Tahoma"/>
          <w:sz w:val="20"/>
          <w:szCs w:val="20"/>
        </w:rPr>
        <w:t>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οικονομικές καταστάσεις απεικονίζουν τις υποκείμενες συναλλαγές και τα γεγονότα με τρόπο που επιτυγχάνεται η εύλογη παρουσίαση.</w:t>
      </w:r>
    </w:p>
    <w:p w:rsidR="004E168F" w:rsidRPr="005C5A08" w:rsidRDefault="004E168F" w:rsidP="004E168F">
      <w:pPr>
        <w:pStyle w:val="ListParagraph"/>
        <w:ind w:left="284"/>
        <w:jc w:val="both"/>
        <w:rPr>
          <w:rFonts w:ascii="Tahoma" w:hAnsi="Tahoma" w:cs="Tahoma"/>
          <w:sz w:val="20"/>
          <w:szCs w:val="20"/>
        </w:rPr>
      </w:pPr>
    </w:p>
    <w:p w:rsidR="004E168F" w:rsidRPr="005C5A08" w:rsidRDefault="004E168F" w:rsidP="004E168F">
      <w:pPr>
        <w:spacing w:after="240"/>
        <w:rPr>
          <w:rFonts w:ascii="Tahoma" w:hAnsi="Tahoma" w:cs="Tahoma"/>
          <w:sz w:val="20"/>
          <w:szCs w:val="20"/>
        </w:rPr>
      </w:pPr>
      <w:r w:rsidRPr="005C5A08">
        <w:rPr>
          <w:rFonts w:ascii="Tahoma" w:hAnsi="Tahoma" w:cs="Tahoma"/>
          <w:sz w:val="20"/>
          <w:szCs w:val="20"/>
        </w:rPr>
        <w:t>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w:t>
      </w:r>
    </w:p>
    <w:p w:rsidR="004E168F" w:rsidRPr="005C5A08" w:rsidRDefault="004E168F" w:rsidP="004E168F">
      <w:pPr>
        <w:rPr>
          <w:rFonts w:ascii="Tahoma" w:hAnsi="Tahoma" w:cs="Tahoma"/>
          <w:sz w:val="20"/>
          <w:szCs w:val="20"/>
        </w:rPr>
      </w:pPr>
    </w:p>
    <w:p w:rsidR="004E168F" w:rsidRPr="005C5A08" w:rsidRDefault="004E168F" w:rsidP="004E168F">
      <w:pPr>
        <w:tabs>
          <w:tab w:val="left" w:pos="0"/>
        </w:tabs>
        <w:autoSpaceDE w:val="0"/>
        <w:autoSpaceDN w:val="0"/>
        <w:adjustRightInd w:val="0"/>
        <w:spacing w:after="240"/>
        <w:rPr>
          <w:rFonts w:ascii="Tahoma" w:hAnsi="Tahoma" w:cs="Tahoma"/>
          <w:b/>
          <w:sz w:val="20"/>
          <w:szCs w:val="20"/>
          <w:u w:val="single"/>
        </w:rPr>
      </w:pPr>
      <w:r w:rsidRPr="005C5A08">
        <w:rPr>
          <w:rFonts w:ascii="Tahoma" w:hAnsi="Tahoma" w:cs="Tahoma"/>
          <w:b/>
          <w:sz w:val="20"/>
          <w:szCs w:val="20"/>
          <w:u w:val="single"/>
        </w:rPr>
        <w:t>Έκθεση επί άλλων Νομικών και Κανονιστικών Απαιτήσεων</w:t>
      </w:r>
    </w:p>
    <w:p w:rsidR="004E168F" w:rsidRPr="005C5A08" w:rsidRDefault="004E168F" w:rsidP="004E168F">
      <w:pPr>
        <w:tabs>
          <w:tab w:val="left" w:pos="0"/>
          <w:tab w:val="left" w:pos="284"/>
        </w:tabs>
        <w:autoSpaceDE w:val="0"/>
        <w:autoSpaceDN w:val="0"/>
        <w:adjustRightInd w:val="0"/>
        <w:rPr>
          <w:rFonts w:ascii="Tahoma" w:hAnsi="Tahoma" w:cs="Tahoma"/>
          <w:color w:val="000000" w:themeColor="text1"/>
          <w:sz w:val="20"/>
          <w:szCs w:val="20"/>
        </w:rPr>
      </w:pPr>
      <w:r w:rsidRPr="005C5A08">
        <w:rPr>
          <w:rFonts w:ascii="Tahoma" w:hAnsi="Tahoma" w:cs="Tahoma"/>
          <w:color w:val="000000" w:themeColor="text1"/>
          <w:sz w:val="20"/>
          <w:szCs w:val="20"/>
        </w:rPr>
        <w:t>Λαμβάνοντας υπόψη ότι η διοίκηση έχει την ευθύνη για την κατάρτιση της Έκθεσης Διαχείρισης του Διοικητικού Συμβουλίου, κατ’ εφαρμογή των διατάξεων της παραγράφου 5 του άρθρου 2  (μέρος Β) του Ν. 4336/2015, σημειώνουμε ότι:</w:t>
      </w:r>
    </w:p>
    <w:p w:rsidR="004E168F" w:rsidRPr="005C5A08" w:rsidRDefault="004E168F" w:rsidP="004E168F">
      <w:pPr>
        <w:autoSpaceDE w:val="0"/>
        <w:autoSpaceDN w:val="0"/>
        <w:adjustRightInd w:val="0"/>
        <w:rPr>
          <w:rFonts w:ascii="Tahoma" w:hAnsi="Tahoma" w:cs="Tahoma"/>
          <w:color w:val="000000" w:themeColor="text1"/>
          <w:sz w:val="20"/>
          <w:szCs w:val="20"/>
        </w:rPr>
      </w:pPr>
    </w:p>
    <w:p w:rsidR="004E168F" w:rsidRPr="005C5A08" w:rsidRDefault="004E168F" w:rsidP="004E168F">
      <w:pPr>
        <w:autoSpaceDE w:val="0"/>
        <w:autoSpaceDN w:val="0"/>
        <w:adjustRightInd w:val="0"/>
        <w:ind w:left="284" w:hanging="284"/>
        <w:rPr>
          <w:rFonts w:ascii="Tahoma" w:hAnsi="Tahoma" w:cs="Tahoma"/>
          <w:color w:val="000000" w:themeColor="text1"/>
          <w:sz w:val="20"/>
          <w:szCs w:val="20"/>
          <w:lang w:val="en-US"/>
        </w:rPr>
      </w:pPr>
      <w:r w:rsidRPr="005C5A08">
        <w:rPr>
          <w:rFonts w:ascii="Tahoma" w:hAnsi="Tahoma" w:cs="Tahoma"/>
          <w:color w:val="000000" w:themeColor="text1"/>
          <w:sz w:val="20"/>
          <w:szCs w:val="20"/>
        </w:rPr>
        <w:t xml:space="preserve">α) Κατά τη γνώμη μας η Έκθεση Διαχείρισης του Διοικητικού Συμβουλίου έχει καταρτισθεί σύμφωνα με τις ισχύουσες νομικές απαιτήσεις των άρθρων 43α και του κ.ν. 2190/1920 και το περιεχόμενο αυτής αντιστοιχεί με τις συνημμένες οικονομικές καταστάσεις της χρήσης που έληξε την </w:t>
      </w:r>
      <w:r>
        <w:rPr>
          <w:rFonts w:ascii="Tahoma" w:hAnsi="Tahoma" w:cs="Tahoma"/>
          <w:color w:val="000000" w:themeColor="text1"/>
          <w:sz w:val="20"/>
          <w:lang w:val="en-US"/>
        </w:rPr>
        <w:t>31.12.2018.</w:t>
      </w:r>
    </w:p>
    <w:p w:rsidR="004E168F" w:rsidRPr="005C5A08" w:rsidRDefault="004E168F" w:rsidP="004E168F">
      <w:pPr>
        <w:autoSpaceDE w:val="0"/>
        <w:autoSpaceDN w:val="0"/>
        <w:adjustRightInd w:val="0"/>
        <w:rPr>
          <w:rFonts w:ascii="Tahoma" w:hAnsi="Tahoma" w:cs="Tahoma"/>
          <w:color w:val="000000" w:themeColor="text1"/>
          <w:sz w:val="20"/>
          <w:szCs w:val="20"/>
        </w:rPr>
      </w:pPr>
    </w:p>
    <w:p w:rsidR="004E168F" w:rsidRPr="005C5A08" w:rsidRDefault="004E168F" w:rsidP="004E168F">
      <w:pPr>
        <w:autoSpaceDE w:val="0"/>
        <w:autoSpaceDN w:val="0"/>
        <w:adjustRightInd w:val="0"/>
        <w:ind w:left="284" w:hanging="284"/>
        <w:rPr>
          <w:rFonts w:ascii="Tahoma" w:hAnsi="Tahoma" w:cs="Tahoma"/>
          <w:color w:val="000000" w:themeColor="text1"/>
          <w:sz w:val="20"/>
          <w:szCs w:val="20"/>
          <w:lang w:val="en-US"/>
        </w:rPr>
      </w:pPr>
      <w:r w:rsidRPr="005C5A08">
        <w:rPr>
          <w:rFonts w:ascii="Tahoma" w:hAnsi="Tahoma" w:cs="Tahoma"/>
          <w:color w:val="000000" w:themeColor="text1"/>
          <w:sz w:val="20"/>
          <w:szCs w:val="20"/>
        </w:rPr>
        <w:t xml:space="preserve">β) Με βάση τη γνώση που αποκτήσαμε κατά το έλεγχό μας, για την εταιρεία </w:t>
      </w:r>
      <w:r w:rsidRPr="005C5A08">
        <w:rPr>
          <w:rFonts w:ascii="Tahoma" w:hAnsi="Tahoma" w:cs="Tahoma"/>
          <w:b/>
          <w:bCs/>
          <w:iCs/>
          <w:color w:val="000000" w:themeColor="text1"/>
          <w:sz w:val="20"/>
        </w:rPr>
        <w:t>«ΠΕΠΟΝΟΠΟΥΛΟΣ Α.Ε.»</w:t>
      </w:r>
      <w:r w:rsidRPr="005C5A08">
        <w:rPr>
          <w:rFonts w:ascii="Tahoma" w:hAnsi="Tahoma" w:cs="Tahoma"/>
          <w:color w:val="000000" w:themeColor="text1"/>
          <w:sz w:val="20"/>
          <w:szCs w:val="20"/>
        </w:rPr>
        <w:t>. και το περιβάλλον της, δεν έχουμε εντοπίσει ουσιώδεις ανακρίβειες στην Έκθεση Διαχείρισης του Διοικητικού της Συμβουλίου</w:t>
      </w:r>
      <w:r>
        <w:rPr>
          <w:rFonts w:ascii="Tahoma" w:hAnsi="Tahoma" w:cs="Tahoma"/>
          <w:color w:val="000000" w:themeColor="text1"/>
          <w:sz w:val="20"/>
          <w:lang w:val="en-US"/>
        </w:rPr>
        <w:t>.</w:t>
      </w:r>
    </w:p>
    <w:p w:rsidR="004E168F" w:rsidRPr="005C5A08" w:rsidRDefault="004E168F" w:rsidP="004E168F">
      <w:pPr>
        <w:tabs>
          <w:tab w:val="left" w:pos="0"/>
        </w:tabs>
        <w:autoSpaceDE w:val="0"/>
        <w:autoSpaceDN w:val="0"/>
        <w:adjustRightInd w:val="0"/>
        <w:rPr>
          <w:rFonts w:ascii="Tahoma" w:hAnsi="Tahoma" w:cs="Tahoma"/>
          <w:b/>
          <w:sz w:val="20"/>
          <w:szCs w:val="20"/>
          <w:u w:val="single"/>
        </w:rPr>
      </w:pPr>
    </w:p>
    <w:tbl>
      <w:tblPr>
        <w:tblW w:w="8635" w:type="dxa"/>
        <w:tblLook w:val="04A0" w:firstRow="1" w:lastRow="0" w:firstColumn="1" w:lastColumn="0" w:noHBand="0" w:noVBand="1"/>
      </w:tblPr>
      <w:tblGrid>
        <w:gridCol w:w="3969"/>
        <w:gridCol w:w="426"/>
        <w:gridCol w:w="4240"/>
      </w:tblGrid>
      <w:tr w:rsidR="004E168F" w:rsidRPr="004A7C69" w:rsidTr="00180EF4">
        <w:trPr>
          <w:trHeight w:val="1791"/>
        </w:trPr>
        <w:tc>
          <w:tcPr>
            <w:tcW w:w="3969" w:type="dxa"/>
            <w:shd w:val="clear" w:color="auto" w:fill="auto"/>
          </w:tcPr>
          <w:p w:rsidR="004E168F" w:rsidRPr="005C5A08" w:rsidRDefault="004E168F" w:rsidP="00180EF4">
            <w:pPr>
              <w:suppressAutoHyphens/>
              <w:autoSpaceDE w:val="0"/>
              <w:autoSpaceDN w:val="0"/>
              <w:adjustRightInd w:val="0"/>
              <w:ind w:left="-108"/>
              <w:jc w:val="both"/>
              <w:rPr>
                <w:rFonts w:ascii="Tahoma" w:hAnsi="Tahoma" w:cs="Tahoma"/>
                <w:b/>
                <w:color w:val="000000"/>
                <w:kern w:val="1"/>
                <w:sz w:val="30"/>
                <w:szCs w:val="30"/>
                <w:lang w:val="en-US"/>
              </w:rPr>
            </w:pPr>
            <w:bookmarkStart w:id="5" w:name="_Hlk526173980"/>
            <w:r w:rsidRPr="005C5A08">
              <w:rPr>
                <w:rFonts w:ascii="Tahoma" w:hAnsi="Tahoma" w:cs="Tahoma"/>
                <w:b/>
                <w:noProof/>
                <w:sz w:val="30"/>
                <w:szCs w:val="30"/>
                <w:lang w:val="en-US"/>
              </w:rPr>
              <w:t>VNT AUDITING SA</w:t>
            </w:r>
          </w:p>
        </w:tc>
        <w:tc>
          <w:tcPr>
            <w:tcW w:w="426" w:type="dxa"/>
            <w:shd w:val="clear" w:color="auto" w:fill="auto"/>
          </w:tcPr>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p>
        </w:tc>
        <w:tc>
          <w:tcPr>
            <w:tcW w:w="4240" w:type="dxa"/>
            <w:shd w:val="clear" w:color="auto" w:fill="auto"/>
          </w:tcPr>
          <w:p w:rsidR="004E168F" w:rsidRPr="005C5A08" w:rsidRDefault="004E168F" w:rsidP="00180EF4">
            <w:pPr>
              <w:suppressAutoHyphens/>
              <w:autoSpaceDE w:val="0"/>
              <w:autoSpaceDN w:val="0"/>
              <w:adjustRightInd w:val="0"/>
              <w:jc w:val="center"/>
              <w:rPr>
                <w:rFonts w:ascii="Tahoma" w:hAnsi="Tahoma" w:cs="Tahoma"/>
                <w:color w:val="000000"/>
                <w:kern w:val="1"/>
                <w:sz w:val="20"/>
                <w:szCs w:val="20"/>
                <w:lang w:val="en-US"/>
              </w:rPr>
            </w:pPr>
            <w:r w:rsidRPr="005C5A08">
              <w:rPr>
                <w:rFonts w:ascii="Tahoma" w:hAnsi="Tahoma" w:cs="Tahoma"/>
                <w:color w:val="000000"/>
                <w:kern w:val="1"/>
                <w:sz w:val="20"/>
                <w:szCs w:val="20"/>
              </w:rPr>
              <w:t xml:space="preserve">Αθήνα, </w:t>
            </w:r>
            <w:r w:rsidRPr="005C5A08">
              <w:rPr>
                <w:rFonts w:ascii="Tahoma" w:hAnsi="Tahoma" w:cs="Tahoma"/>
                <w:color w:val="000000"/>
                <w:kern w:val="1"/>
                <w:sz w:val="20"/>
                <w:lang w:val="en-US"/>
              </w:rPr>
              <w:t>7/8/201</w:t>
            </w:r>
            <w:r>
              <w:rPr>
                <w:rFonts w:ascii="Tahoma" w:hAnsi="Tahoma" w:cs="Tahoma"/>
                <w:color w:val="000000"/>
                <w:kern w:val="1"/>
                <w:sz w:val="20"/>
                <w:lang w:val="en-US"/>
              </w:rPr>
              <w:t>9</w:t>
            </w:r>
          </w:p>
          <w:p w:rsidR="004E168F" w:rsidRPr="005C5A08" w:rsidRDefault="004E168F" w:rsidP="00180EF4">
            <w:pPr>
              <w:suppressAutoHyphens/>
              <w:autoSpaceDE w:val="0"/>
              <w:autoSpaceDN w:val="0"/>
              <w:adjustRightInd w:val="0"/>
              <w:jc w:val="center"/>
              <w:rPr>
                <w:rFonts w:ascii="Tahoma" w:hAnsi="Tahoma" w:cs="Tahoma"/>
                <w:color w:val="000000"/>
                <w:kern w:val="1"/>
                <w:sz w:val="20"/>
                <w:szCs w:val="20"/>
              </w:rPr>
            </w:pPr>
            <w:r w:rsidRPr="005C5A08">
              <w:rPr>
                <w:rFonts w:ascii="Tahoma" w:hAnsi="Tahoma" w:cs="Tahoma"/>
                <w:color w:val="000000"/>
                <w:kern w:val="1"/>
                <w:sz w:val="20"/>
                <w:szCs w:val="20"/>
              </w:rPr>
              <w:t>Ο Ορκωτός Ελεγκτής Λογιστής</w:t>
            </w:r>
          </w:p>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p>
        </w:tc>
      </w:tr>
      <w:tr w:rsidR="004E168F" w:rsidRPr="004A7C69" w:rsidTr="00180EF4">
        <w:trPr>
          <w:trHeight w:val="1405"/>
        </w:trPr>
        <w:tc>
          <w:tcPr>
            <w:tcW w:w="3969" w:type="dxa"/>
            <w:shd w:val="clear" w:color="auto" w:fill="auto"/>
          </w:tcPr>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r w:rsidRPr="005C5A08">
              <w:rPr>
                <w:rFonts w:ascii="Tahoma" w:hAnsi="Tahoma" w:cs="Tahoma"/>
                <w:color w:val="000000"/>
                <w:kern w:val="1"/>
                <w:sz w:val="20"/>
                <w:szCs w:val="20"/>
              </w:rPr>
              <w:t>Ορκωτοί Ελεγκτές Λογιστές</w:t>
            </w:r>
          </w:p>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r w:rsidRPr="005C5A08">
              <w:rPr>
                <w:rFonts w:ascii="Tahoma" w:hAnsi="Tahoma" w:cs="Tahoma"/>
                <w:color w:val="000000"/>
                <w:kern w:val="1"/>
                <w:sz w:val="20"/>
                <w:szCs w:val="20"/>
              </w:rPr>
              <w:t xml:space="preserve"> Σύμβουλοι επιχειρήσεων</w:t>
            </w:r>
          </w:p>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r w:rsidRPr="005C5A08">
              <w:rPr>
                <w:rFonts w:ascii="Tahoma" w:hAnsi="Tahoma" w:cs="Tahoma"/>
                <w:color w:val="000000"/>
                <w:kern w:val="1"/>
                <w:sz w:val="20"/>
                <w:szCs w:val="20"/>
              </w:rPr>
              <w:t xml:space="preserve"> Λεωφ. Μεσογείων 396, 15341</w:t>
            </w:r>
          </w:p>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r w:rsidRPr="005C5A08">
              <w:rPr>
                <w:rFonts w:ascii="Tahoma" w:hAnsi="Tahoma" w:cs="Tahoma"/>
                <w:color w:val="000000"/>
                <w:kern w:val="1"/>
                <w:sz w:val="20"/>
                <w:szCs w:val="20"/>
              </w:rPr>
              <w:t xml:space="preserve"> Αγ. Παρασκευή,  Αθήνα</w:t>
            </w:r>
          </w:p>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r w:rsidRPr="005C5A08">
              <w:rPr>
                <w:rFonts w:ascii="Tahoma" w:hAnsi="Tahoma" w:cs="Tahoma"/>
                <w:color w:val="000000"/>
                <w:kern w:val="1"/>
                <w:sz w:val="20"/>
                <w:szCs w:val="20"/>
              </w:rPr>
              <w:t xml:space="preserve"> Α.Μ./ΣΟΕΛ:  174</w:t>
            </w:r>
          </w:p>
        </w:tc>
        <w:tc>
          <w:tcPr>
            <w:tcW w:w="426" w:type="dxa"/>
            <w:shd w:val="clear" w:color="auto" w:fill="auto"/>
          </w:tcPr>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p>
        </w:tc>
        <w:tc>
          <w:tcPr>
            <w:tcW w:w="4240" w:type="dxa"/>
            <w:shd w:val="clear" w:color="auto" w:fill="auto"/>
          </w:tcPr>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p>
        </w:tc>
      </w:tr>
      <w:tr w:rsidR="004E168F" w:rsidRPr="004A7C69" w:rsidTr="00180EF4">
        <w:tc>
          <w:tcPr>
            <w:tcW w:w="3969" w:type="dxa"/>
            <w:shd w:val="clear" w:color="auto" w:fill="auto"/>
          </w:tcPr>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p>
        </w:tc>
        <w:tc>
          <w:tcPr>
            <w:tcW w:w="426" w:type="dxa"/>
            <w:shd w:val="clear" w:color="auto" w:fill="auto"/>
          </w:tcPr>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p>
        </w:tc>
        <w:tc>
          <w:tcPr>
            <w:tcW w:w="4240" w:type="dxa"/>
            <w:shd w:val="clear" w:color="auto" w:fill="auto"/>
          </w:tcPr>
          <w:p w:rsidR="004E168F" w:rsidRPr="005C5A08" w:rsidRDefault="004E168F" w:rsidP="00180EF4">
            <w:pPr>
              <w:suppressAutoHyphens/>
              <w:autoSpaceDE w:val="0"/>
              <w:autoSpaceDN w:val="0"/>
              <w:adjustRightInd w:val="0"/>
              <w:jc w:val="center"/>
              <w:rPr>
                <w:rFonts w:ascii="Tahoma" w:hAnsi="Tahoma" w:cs="Tahoma"/>
                <w:color w:val="000000"/>
                <w:kern w:val="1"/>
                <w:sz w:val="20"/>
                <w:szCs w:val="20"/>
              </w:rPr>
            </w:pPr>
            <w:r w:rsidRPr="005C5A08">
              <w:rPr>
                <w:rFonts w:ascii="Tahoma" w:hAnsi="Tahoma" w:cs="Tahoma"/>
                <w:color w:val="000000"/>
                <w:kern w:val="1"/>
                <w:sz w:val="20"/>
                <w:szCs w:val="20"/>
              </w:rPr>
              <w:t>ΜΠΑΜΠΑΝΕΛΟΥ ΔΕΣΠΟΙΝΑ</w:t>
            </w:r>
          </w:p>
          <w:p w:rsidR="004E168F" w:rsidRPr="005C5A08" w:rsidRDefault="004E168F" w:rsidP="00180EF4">
            <w:pPr>
              <w:suppressAutoHyphens/>
              <w:autoSpaceDE w:val="0"/>
              <w:autoSpaceDN w:val="0"/>
              <w:adjustRightInd w:val="0"/>
              <w:jc w:val="center"/>
              <w:rPr>
                <w:rFonts w:ascii="Tahoma" w:hAnsi="Tahoma" w:cs="Tahoma"/>
                <w:color w:val="000000"/>
                <w:kern w:val="1"/>
                <w:sz w:val="20"/>
                <w:szCs w:val="20"/>
              </w:rPr>
            </w:pPr>
          </w:p>
        </w:tc>
      </w:tr>
      <w:tr w:rsidR="004E168F" w:rsidRPr="004A7C69" w:rsidTr="00180EF4">
        <w:tc>
          <w:tcPr>
            <w:tcW w:w="3969" w:type="dxa"/>
            <w:shd w:val="clear" w:color="auto" w:fill="auto"/>
          </w:tcPr>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p>
        </w:tc>
        <w:tc>
          <w:tcPr>
            <w:tcW w:w="426" w:type="dxa"/>
            <w:shd w:val="clear" w:color="auto" w:fill="auto"/>
          </w:tcPr>
          <w:p w:rsidR="004E168F" w:rsidRPr="005C5A08" w:rsidRDefault="004E168F" w:rsidP="00180EF4">
            <w:pPr>
              <w:suppressAutoHyphens/>
              <w:autoSpaceDE w:val="0"/>
              <w:autoSpaceDN w:val="0"/>
              <w:adjustRightInd w:val="0"/>
              <w:jc w:val="both"/>
              <w:rPr>
                <w:rFonts w:ascii="Tahoma" w:hAnsi="Tahoma" w:cs="Tahoma"/>
                <w:color w:val="000000"/>
                <w:kern w:val="1"/>
                <w:sz w:val="20"/>
                <w:szCs w:val="20"/>
              </w:rPr>
            </w:pPr>
          </w:p>
        </w:tc>
        <w:tc>
          <w:tcPr>
            <w:tcW w:w="4240" w:type="dxa"/>
            <w:shd w:val="clear" w:color="auto" w:fill="auto"/>
          </w:tcPr>
          <w:p w:rsidR="004E168F" w:rsidRPr="005C5A08" w:rsidRDefault="004E168F" w:rsidP="00180EF4">
            <w:pPr>
              <w:suppressAutoHyphens/>
              <w:autoSpaceDE w:val="0"/>
              <w:autoSpaceDN w:val="0"/>
              <w:adjustRightInd w:val="0"/>
              <w:jc w:val="center"/>
              <w:rPr>
                <w:rFonts w:ascii="Tahoma" w:hAnsi="Tahoma" w:cs="Tahoma"/>
                <w:color w:val="000000"/>
                <w:kern w:val="1"/>
                <w:sz w:val="20"/>
                <w:szCs w:val="20"/>
              </w:rPr>
            </w:pPr>
            <w:r w:rsidRPr="005C5A08">
              <w:rPr>
                <w:rFonts w:ascii="Tahoma" w:hAnsi="Tahoma" w:cs="Tahoma"/>
                <w:color w:val="000000"/>
                <w:kern w:val="1"/>
                <w:sz w:val="20"/>
                <w:szCs w:val="20"/>
              </w:rPr>
              <w:t>Α.Μ./ΣΟΕΛ: 37151</w:t>
            </w:r>
          </w:p>
          <w:p w:rsidR="004E168F" w:rsidRPr="005C5A08" w:rsidRDefault="004E168F" w:rsidP="00180EF4">
            <w:pPr>
              <w:suppressAutoHyphens/>
              <w:autoSpaceDE w:val="0"/>
              <w:autoSpaceDN w:val="0"/>
              <w:adjustRightInd w:val="0"/>
              <w:jc w:val="center"/>
              <w:rPr>
                <w:rFonts w:ascii="Tahoma" w:hAnsi="Tahoma" w:cs="Tahoma"/>
                <w:color w:val="000000"/>
                <w:kern w:val="1"/>
                <w:sz w:val="20"/>
                <w:szCs w:val="20"/>
              </w:rPr>
            </w:pPr>
          </w:p>
        </w:tc>
      </w:tr>
      <w:bookmarkEnd w:id="5"/>
    </w:tbl>
    <w:p w:rsidR="004E168F" w:rsidRPr="005C5A08" w:rsidRDefault="004E168F" w:rsidP="004E168F">
      <w:pPr>
        <w:pStyle w:val="ListParagraph"/>
        <w:ind w:left="284"/>
        <w:jc w:val="both"/>
        <w:rPr>
          <w:rFonts w:ascii="Tahoma" w:hAnsi="Tahoma" w:cs="Tahoma"/>
          <w:sz w:val="20"/>
          <w:szCs w:val="20"/>
        </w:rPr>
      </w:pPr>
    </w:p>
    <w:p w:rsidR="004E168F" w:rsidRPr="005C5A08" w:rsidRDefault="004E168F" w:rsidP="004E168F">
      <w:pPr>
        <w:pStyle w:val="ListParagraph"/>
        <w:ind w:left="284"/>
        <w:jc w:val="both"/>
        <w:rPr>
          <w:rFonts w:ascii="Tahoma" w:hAnsi="Tahoma" w:cs="Tahoma"/>
          <w:sz w:val="20"/>
          <w:szCs w:val="20"/>
        </w:rPr>
      </w:pPr>
    </w:p>
    <w:p w:rsidR="004E168F" w:rsidRDefault="004E168F" w:rsidP="00194944">
      <w:pPr>
        <w:jc w:val="center"/>
        <w:rPr>
          <w:rFonts w:ascii="Tahoma" w:hAnsi="Tahoma" w:cs="Tahoma"/>
          <w:sz w:val="22"/>
          <w:szCs w:val="22"/>
          <w:highlight w:val="red"/>
        </w:rPr>
      </w:pPr>
    </w:p>
    <w:p w:rsidR="004E168F" w:rsidRDefault="004E168F" w:rsidP="00194944">
      <w:pPr>
        <w:jc w:val="center"/>
        <w:rPr>
          <w:rFonts w:ascii="Tahoma" w:hAnsi="Tahoma" w:cs="Tahoma"/>
          <w:sz w:val="22"/>
          <w:szCs w:val="22"/>
          <w:highlight w:val="red"/>
        </w:rPr>
      </w:pPr>
    </w:p>
    <w:p w:rsidR="004E168F" w:rsidRDefault="004E168F" w:rsidP="00194944">
      <w:pPr>
        <w:jc w:val="center"/>
        <w:rPr>
          <w:rFonts w:ascii="Tahoma" w:hAnsi="Tahoma" w:cs="Tahoma"/>
          <w:sz w:val="22"/>
          <w:szCs w:val="22"/>
          <w:highlight w:val="red"/>
        </w:rPr>
      </w:pPr>
    </w:p>
    <w:p w:rsidR="004E168F" w:rsidRDefault="004E168F" w:rsidP="004E168F">
      <w:pPr>
        <w:rPr>
          <w:rFonts w:ascii="Tahoma" w:hAnsi="Tahoma" w:cs="Tahoma"/>
          <w:sz w:val="22"/>
          <w:szCs w:val="22"/>
          <w:highlight w:val="red"/>
        </w:rPr>
      </w:pPr>
    </w:p>
    <w:p w:rsidR="004E168F" w:rsidRDefault="004E168F" w:rsidP="00194944">
      <w:pPr>
        <w:jc w:val="center"/>
        <w:rPr>
          <w:rFonts w:ascii="Tahoma" w:hAnsi="Tahoma" w:cs="Tahoma"/>
          <w:sz w:val="22"/>
          <w:szCs w:val="22"/>
          <w:highlight w:val="red"/>
        </w:rPr>
      </w:pPr>
    </w:p>
    <w:p w:rsidR="004E168F" w:rsidRDefault="004E168F" w:rsidP="00194944">
      <w:pPr>
        <w:jc w:val="center"/>
        <w:rPr>
          <w:rFonts w:ascii="Tahoma" w:hAnsi="Tahoma" w:cs="Tahoma"/>
          <w:sz w:val="22"/>
          <w:szCs w:val="22"/>
          <w:highlight w:val="red"/>
        </w:rPr>
      </w:pPr>
    </w:p>
    <w:p w:rsidR="004E168F" w:rsidRPr="00485A4C" w:rsidRDefault="004E168F" w:rsidP="00194944">
      <w:pPr>
        <w:jc w:val="center"/>
        <w:rPr>
          <w:rFonts w:ascii="Tahoma" w:hAnsi="Tahoma" w:cs="Tahoma"/>
          <w:sz w:val="22"/>
          <w:szCs w:val="22"/>
          <w:highlight w:val="red"/>
        </w:rPr>
      </w:pPr>
    </w:p>
    <w:p w:rsidR="00654AAF" w:rsidRPr="00485A4C" w:rsidRDefault="00654AAF" w:rsidP="00BF4CA2">
      <w:pPr>
        <w:pStyle w:val="Heading1"/>
        <w:numPr>
          <w:ilvl w:val="0"/>
          <w:numId w:val="4"/>
        </w:numPr>
        <w:rPr>
          <w:rFonts w:ascii="Tahoma" w:hAnsi="Tahoma" w:cs="Tahoma"/>
          <w:sz w:val="22"/>
          <w:szCs w:val="22"/>
        </w:rPr>
      </w:pPr>
      <w:bookmarkStart w:id="6" w:name="_Toc526260593"/>
      <w:r w:rsidRPr="00485A4C">
        <w:rPr>
          <w:rFonts w:ascii="Tahoma" w:hAnsi="Tahoma" w:cs="Tahoma"/>
          <w:sz w:val="22"/>
          <w:szCs w:val="22"/>
        </w:rPr>
        <w:t>Οικονομικές Καταστάσεις</w:t>
      </w:r>
      <w:bookmarkEnd w:id="6"/>
    </w:p>
    <w:p w:rsidR="00654AAF" w:rsidRPr="00485A4C" w:rsidRDefault="00654AAF" w:rsidP="004A4C37">
      <w:pPr>
        <w:pStyle w:val="Heading2"/>
        <w:ind w:left="-540"/>
        <w:rPr>
          <w:rFonts w:ascii="Tahoma" w:hAnsi="Tahoma" w:cs="Tahoma"/>
          <w:sz w:val="22"/>
          <w:szCs w:val="22"/>
        </w:rPr>
      </w:pPr>
      <w:bookmarkStart w:id="7" w:name="_Toc526260594"/>
      <w:r w:rsidRPr="00485A4C">
        <w:rPr>
          <w:rFonts w:ascii="Tahoma" w:hAnsi="Tahoma" w:cs="Tahoma"/>
          <w:sz w:val="22"/>
          <w:szCs w:val="22"/>
        </w:rPr>
        <w:t>Κατάσταση</w:t>
      </w:r>
      <w:r w:rsidR="00984E38" w:rsidRPr="00485A4C">
        <w:rPr>
          <w:rFonts w:ascii="Tahoma" w:hAnsi="Tahoma" w:cs="Tahoma"/>
          <w:sz w:val="22"/>
          <w:szCs w:val="22"/>
        </w:rPr>
        <w:t xml:space="preserve"> Οικονομικής Θέσης</w:t>
      </w:r>
      <w:r w:rsidRPr="00485A4C">
        <w:rPr>
          <w:rFonts w:ascii="Tahoma" w:hAnsi="Tahoma" w:cs="Tahoma"/>
          <w:sz w:val="22"/>
          <w:szCs w:val="22"/>
        </w:rPr>
        <w:t xml:space="preserve"> </w:t>
      </w:r>
      <w:r w:rsidR="004A4C37" w:rsidRPr="00485A4C">
        <w:rPr>
          <w:rFonts w:ascii="Tahoma" w:hAnsi="Tahoma" w:cs="Tahoma"/>
          <w:sz w:val="22"/>
          <w:szCs w:val="22"/>
        </w:rPr>
        <w:t xml:space="preserve"> </w:t>
      </w:r>
      <w:r w:rsidR="0052335B" w:rsidRPr="00485A4C">
        <w:rPr>
          <w:rFonts w:ascii="Tahoma" w:hAnsi="Tahoma" w:cs="Tahoma"/>
          <w:b w:val="0"/>
          <w:sz w:val="22"/>
          <w:szCs w:val="22"/>
        </w:rPr>
        <w:t xml:space="preserve">(ποσά σε </w:t>
      </w:r>
      <w:r w:rsidR="004A4C37" w:rsidRPr="00485A4C">
        <w:rPr>
          <w:rFonts w:ascii="Tahoma" w:hAnsi="Tahoma" w:cs="Tahoma"/>
          <w:b w:val="0"/>
          <w:sz w:val="22"/>
          <w:szCs w:val="22"/>
        </w:rPr>
        <w:t>€</w:t>
      </w:r>
      <w:r w:rsidR="0052335B" w:rsidRPr="00485A4C">
        <w:rPr>
          <w:rFonts w:ascii="Tahoma" w:hAnsi="Tahoma" w:cs="Tahoma"/>
          <w:b w:val="0"/>
          <w:sz w:val="22"/>
          <w:szCs w:val="22"/>
        </w:rPr>
        <w:t>)</w:t>
      </w:r>
      <w:bookmarkEnd w:id="7"/>
    </w:p>
    <w:p w:rsidR="00DB3FA0" w:rsidRDefault="00DB3FA0" w:rsidP="008A7FED">
      <w:pPr>
        <w:jc w:val="both"/>
        <w:rPr>
          <w:rFonts w:ascii="Tahoma" w:hAnsi="Tahoma" w:cs="Tahoma"/>
          <w:sz w:val="22"/>
          <w:szCs w:val="22"/>
          <w:lang w:val="en-US"/>
        </w:rPr>
      </w:pPr>
    </w:p>
    <w:p w:rsidR="004A7C69" w:rsidRDefault="004A7C69" w:rsidP="008A7FED">
      <w:pPr>
        <w:jc w:val="both"/>
        <w:rPr>
          <w:rFonts w:ascii="Tahoma" w:hAnsi="Tahoma" w:cs="Tahoma"/>
          <w:sz w:val="22"/>
          <w:szCs w:val="22"/>
          <w:lang w:val="en-US"/>
        </w:rPr>
      </w:pPr>
    </w:p>
    <w:tbl>
      <w:tblPr>
        <w:tblW w:w="8744" w:type="dxa"/>
        <w:tblLook w:val="04A0" w:firstRow="1" w:lastRow="0" w:firstColumn="1" w:lastColumn="0" w:noHBand="0" w:noVBand="1"/>
      </w:tblPr>
      <w:tblGrid>
        <w:gridCol w:w="4796"/>
        <w:gridCol w:w="676"/>
        <w:gridCol w:w="1636"/>
        <w:gridCol w:w="1636"/>
      </w:tblGrid>
      <w:tr w:rsidR="004A7C69" w:rsidTr="004A7C69">
        <w:trPr>
          <w:trHeight w:val="264"/>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r>
              <w:rPr>
                <w:rFonts w:ascii="Tahoma" w:hAnsi="Tahoma" w:cs="Tahoma"/>
                <w:b/>
                <w:bCs/>
                <w:sz w:val="20"/>
                <w:szCs w:val="20"/>
              </w:rPr>
              <w:t>Ι. Κατάσταση Οικονομικής θέσης</w:t>
            </w:r>
          </w:p>
        </w:tc>
        <w:tc>
          <w:tcPr>
            <w:tcW w:w="67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r>
      <w:tr w:rsidR="004A7C69" w:rsidTr="004A7C69">
        <w:trPr>
          <w:trHeight w:val="264"/>
        </w:trPr>
        <w:tc>
          <w:tcPr>
            <w:tcW w:w="4796" w:type="dxa"/>
            <w:tcBorders>
              <w:top w:val="nil"/>
              <w:left w:val="nil"/>
              <w:bottom w:val="nil"/>
              <w:right w:val="nil"/>
            </w:tcBorders>
            <w:shd w:val="clear" w:color="000000" w:fill="D9D9D9"/>
            <w:noWrap/>
            <w:vAlign w:val="bottom"/>
            <w:hideMark/>
          </w:tcPr>
          <w:p w:rsidR="004A7C69" w:rsidRDefault="004A7C69">
            <w:pPr>
              <w:rPr>
                <w:rFonts w:ascii="Tahoma" w:hAnsi="Tahoma" w:cs="Tahoma"/>
                <w:sz w:val="20"/>
                <w:szCs w:val="20"/>
              </w:rPr>
            </w:pPr>
            <w:r>
              <w:rPr>
                <w:rFonts w:ascii="Tahoma" w:hAnsi="Tahoma" w:cs="Tahoma"/>
                <w:sz w:val="20"/>
                <w:szCs w:val="20"/>
              </w:rPr>
              <w:t> </w:t>
            </w:r>
          </w:p>
        </w:tc>
        <w:tc>
          <w:tcPr>
            <w:tcW w:w="676" w:type="dxa"/>
            <w:tcBorders>
              <w:top w:val="nil"/>
              <w:left w:val="nil"/>
              <w:bottom w:val="nil"/>
              <w:right w:val="nil"/>
            </w:tcBorders>
            <w:shd w:val="clear" w:color="000000" w:fill="D9D9D9"/>
            <w:noWrap/>
            <w:vAlign w:val="bottom"/>
            <w:hideMark/>
          </w:tcPr>
          <w:p w:rsidR="004A7C69" w:rsidRDefault="004A7C69">
            <w:pPr>
              <w:rPr>
                <w:rFonts w:ascii="Tahoma" w:hAnsi="Tahoma" w:cs="Tahoma"/>
                <w:sz w:val="20"/>
                <w:szCs w:val="20"/>
              </w:rPr>
            </w:pPr>
            <w:r>
              <w:rPr>
                <w:rFonts w:ascii="Tahoma" w:hAnsi="Tahoma" w:cs="Tahoma"/>
                <w:sz w:val="20"/>
                <w:szCs w:val="20"/>
              </w:rPr>
              <w:t> </w:t>
            </w:r>
          </w:p>
        </w:tc>
        <w:tc>
          <w:tcPr>
            <w:tcW w:w="3272" w:type="dxa"/>
            <w:gridSpan w:val="2"/>
            <w:tcBorders>
              <w:top w:val="nil"/>
              <w:left w:val="nil"/>
              <w:bottom w:val="nil"/>
              <w:right w:val="nil"/>
            </w:tcBorders>
            <w:shd w:val="clear" w:color="000000" w:fill="D9D9D9"/>
            <w:noWrap/>
            <w:vAlign w:val="bottom"/>
            <w:hideMark/>
          </w:tcPr>
          <w:p w:rsidR="004A7C69" w:rsidRDefault="004A7C69">
            <w:pPr>
              <w:jc w:val="center"/>
              <w:rPr>
                <w:rFonts w:ascii="Tahoma" w:hAnsi="Tahoma" w:cs="Tahoma"/>
                <w:b/>
                <w:bCs/>
                <w:sz w:val="20"/>
                <w:szCs w:val="20"/>
              </w:rPr>
            </w:pPr>
            <w:r>
              <w:rPr>
                <w:rFonts w:ascii="Tahoma" w:hAnsi="Tahoma" w:cs="Tahoma"/>
                <w:b/>
                <w:bCs/>
                <w:sz w:val="20"/>
                <w:szCs w:val="20"/>
              </w:rPr>
              <w:t>Εταιρεία</w:t>
            </w:r>
          </w:p>
        </w:tc>
      </w:tr>
      <w:tr w:rsidR="004A7C69" w:rsidTr="004A7C69">
        <w:trPr>
          <w:trHeight w:val="264"/>
        </w:trPr>
        <w:tc>
          <w:tcPr>
            <w:tcW w:w="4796" w:type="dxa"/>
            <w:tcBorders>
              <w:top w:val="nil"/>
              <w:left w:val="nil"/>
              <w:bottom w:val="nil"/>
              <w:right w:val="nil"/>
            </w:tcBorders>
            <w:shd w:val="clear" w:color="000000" w:fill="D9D9D9"/>
            <w:noWrap/>
            <w:vAlign w:val="bottom"/>
            <w:hideMark/>
          </w:tcPr>
          <w:p w:rsidR="004A7C69" w:rsidRDefault="004A7C69">
            <w:pPr>
              <w:rPr>
                <w:rFonts w:ascii="Tahoma" w:hAnsi="Tahoma" w:cs="Tahoma"/>
                <w:sz w:val="20"/>
                <w:szCs w:val="20"/>
              </w:rPr>
            </w:pPr>
            <w:r>
              <w:rPr>
                <w:rFonts w:ascii="Tahoma" w:hAnsi="Tahoma" w:cs="Tahoma"/>
                <w:sz w:val="20"/>
                <w:szCs w:val="20"/>
              </w:rPr>
              <w:t> </w:t>
            </w:r>
          </w:p>
        </w:tc>
        <w:tc>
          <w:tcPr>
            <w:tcW w:w="676" w:type="dxa"/>
            <w:tcBorders>
              <w:top w:val="nil"/>
              <w:left w:val="nil"/>
              <w:bottom w:val="nil"/>
              <w:right w:val="nil"/>
            </w:tcBorders>
            <w:shd w:val="clear" w:color="000000" w:fill="D9D9D9"/>
            <w:noWrap/>
            <w:vAlign w:val="bottom"/>
            <w:hideMark/>
          </w:tcPr>
          <w:p w:rsidR="004A7C69" w:rsidRDefault="004A7C69">
            <w:pPr>
              <w:rPr>
                <w:rFonts w:ascii="Tahoma" w:hAnsi="Tahoma" w:cs="Tahoma"/>
                <w:b/>
                <w:bCs/>
                <w:sz w:val="20"/>
                <w:szCs w:val="20"/>
              </w:rPr>
            </w:pPr>
            <w:r>
              <w:rPr>
                <w:rFonts w:ascii="Tahoma" w:hAnsi="Tahoma" w:cs="Tahoma"/>
                <w:b/>
                <w:bCs/>
                <w:sz w:val="20"/>
                <w:szCs w:val="20"/>
              </w:rPr>
              <w:t>Σημ</w:t>
            </w:r>
          </w:p>
        </w:tc>
        <w:tc>
          <w:tcPr>
            <w:tcW w:w="1636" w:type="dxa"/>
            <w:tcBorders>
              <w:top w:val="nil"/>
              <w:left w:val="nil"/>
              <w:bottom w:val="nil"/>
              <w:right w:val="nil"/>
            </w:tcBorders>
            <w:shd w:val="clear" w:color="000000" w:fill="D9D9D9"/>
            <w:noWrap/>
            <w:vAlign w:val="bottom"/>
            <w:hideMark/>
          </w:tcPr>
          <w:p w:rsidR="004A7C69" w:rsidRDefault="004A7C69">
            <w:pPr>
              <w:jc w:val="center"/>
              <w:rPr>
                <w:rFonts w:ascii="Tahoma" w:hAnsi="Tahoma" w:cs="Tahoma"/>
                <w:b/>
                <w:bCs/>
                <w:sz w:val="20"/>
                <w:szCs w:val="20"/>
                <w:u w:val="single"/>
              </w:rPr>
            </w:pPr>
            <w:r>
              <w:rPr>
                <w:rFonts w:ascii="Tahoma" w:hAnsi="Tahoma" w:cs="Tahoma"/>
                <w:b/>
                <w:bCs/>
                <w:sz w:val="20"/>
                <w:szCs w:val="20"/>
                <w:u w:val="single"/>
              </w:rPr>
              <w:t>31.12.2018</w:t>
            </w:r>
          </w:p>
        </w:tc>
        <w:tc>
          <w:tcPr>
            <w:tcW w:w="1636" w:type="dxa"/>
            <w:tcBorders>
              <w:top w:val="nil"/>
              <w:left w:val="nil"/>
              <w:bottom w:val="nil"/>
              <w:right w:val="nil"/>
            </w:tcBorders>
            <w:shd w:val="clear" w:color="000000" w:fill="D9D9D9"/>
            <w:noWrap/>
            <w:vAlign w:val="bottom"/>
            <w:hideMark/>
          </w:tcPr>
          <w:p w:rsidR="004A7C69" w:rsidRDefault="004A7C69">
            <w:pPr>
              <w:jc w:val="center"/>
              <w:rPr>
                <w:rFonts w:ascii="Tahoma" w:hAnsi="Tahoma" w:cs="Tahoma"/>
                <w:b/>
                <w:bCs/>
                <w:sz w:val="20"/>
                <w:szCs w:val="20"/>
                <w:u w:val="single"/>
              </w:rPr>
            </w:pPr>
            <w:r>
              <w:rPr>
                <w:rFonts w:ascii="Tahoma" w:hAnsi="Tahoma" w:cs="Tahoma"/>
                <w:b/>
                <w:bCs/>
                <w:sz w:val="20"/>
                <w:szCs w:val="20"/>
                <w:u w:val="single"/>
              </w:rPr>
              <w:t>31.12.2017</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u w:val="single"/>
              </w:rPr>
            </w:pPr>
            <w:r>
              <w:rPr>
                <w:rFonts w:ascii="Tahoma" w:hAnsi="Tahoma" w:cs="Tahoma"/>
                <w:b/>
                <w:bCs/>
                <w:sz w:val="20"/>
                <w:szCs w:val="20"/>
                <w:u w:val="single"/>
              </w:rPr>
              <w:t>ΠΕΡΙΟΥΣΙΑΚΑ ΣΤΟΙΧΕΙΑ</w:t>
            </w:r>
          </w:p>
        </w:tc>
        <w:tc>
          <w:tcPr>
            <w:tcW w:w="67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u w:val="single"/>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jc w:val="right"/>
              <w:rPr>
                <w:sz w:val="20"/>
                <w:szCs w:val="20"/>
              </w:rPr>
            </w:pP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r>
              <w:rPr>
                <w:rFonts w:ascii="Tahoma" w:hAnsi="Tahoma" w:cs="Tahoma"/>
                <w:b/>
                <w:bCs/>
                <w:sz w:val="20"/>
                <w:szCs w:val="20"/>
              </w:rPr>
              <w:t>Μη κυκλοφορούντα περιουσιακά στοιχεία</w:t>
            </w:r>
          </w:p>
        </w:tc>
        <w:tc>
          <w:tcPr>
            <w:tcW w:w="67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 xml:space="preserve">Ενσώματα πάγια </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7.1</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2.838.129,11</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3.088.446,81</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Άϋλα περιουσιακά στοιχεία</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7.2</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0,01</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151,24</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Λοιπές απαιτήσεις</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7.3</w:t>
            </w:r>
          </w:p>
        </w:tc>
        <w:tc>
          <w:tcPr>
            <w:tcW w:w="1636" w:type="dxa"/>
            <w:tcBorders>
              <w:top w:val="nil"/>
              <w:left w:val="nil"/>
              <w:bottom w:val="single" w:sz="4" w:space="0" w:color="auto"/>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7.405,00</w:t>
            </w:r>
          </w:p>
        </w:tc>
        <w:tc>
          <w:tcPr>
            <w:tcW w:w="1636" w:type="dxa"/>
            <w:tcBorders>
              <w:top w:val="nil"/>
              <w:left w:val="nil"/>
              <w:bottom w:val="single" w:sz="4" w:space="0" w:color="auto"/>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7.405,00</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p>
        </w:tc>
        <w:tc>
          <w:tcPr>
            <w:tcW w:w="6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2.845.534,12</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3.096.003,05</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r>
              <w:rPr>
                <w:rFonts w:ascii="Tahoma" w:hAnsi="Tahoma" w:cs="Tahoma"/>
                <w:b/>
                <w:bCs/>
                <w:sz w:val="20"/>
                <w:szCs w:val="20"/>
              </w:rPr>
              <w:t>Κυκλοφορούντα περιουσιακά στοιχεία</w:t>
            </w:r>
          </w:p>
        </w:tc>
        <w:tc>
          <w:tcPr>
            <w:tcW w:w="67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Αποθέματα</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7.4</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638.880,66</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565.623,85</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Πελάτες και λοιπές εμπορικές απαιτήσεις</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7.5</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849.721,67</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1.130.070,68</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Λοιπές απαιτήσεις</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7.6</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286.919,21</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179.528,51</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Ταμιακά διαθέσιμα και ισοδύναμα</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7.7</w:t>
            </w:r>
          </w:p>
        </w:tc>
        <w:tc>
          <w:tcPr>
            <w:tcW w:w="1636" w:type="dxa"/>
            <w:tcBorders>
              <w:top w:val="nil"/>
              <w:left w:val="nil"/>
              <w:bottom w:val="single" w:sz="4" w:space="0" w:color="auto"/>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1.110.951,55</w:t>
            </w:r>
          </w:p>
        </w:tc>
        <w:tc>
          <w:tcPr>
            <w:tcW w:w="1636" w:type="dxa"/>
            <w:tcBorders>
              <w:top w:val="nil"/>
              <w:left w:val="nil"/>
              <w:bottom w:val="single" w:sz="4" w:space="0" w:color="auto"/>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867.468,74</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p>
        </w:tc>
        <w:tc>
          <w:tcPr>
            <w:tcW w:w="6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2.886.473,09</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2.742.691,78</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r>
              <w:rPr>
                <w:rFonts w:ascii="Tahoma" w:hAnsi="Tahoma" w:cs="Tahoma"/>
                <w:b/>
                <w:bCs/>
                <w:sz w:val="20"/>
                <w:szCs w:val="20"/>
              </w:rPr>
              <w:t>Σύνολο περιουσιακών στοιχείων</w:t>
            </w:r>
          </w:p>
        </w:tc>
        <w:tc>
          <w:tcPr>
            <w:tcW w:w="67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p>
        </w:tc>
        <w:tc>
          <w:tcPr>
            <w:tcW w:w="1636" w:type="dxa"/>
            <w:tcBorders>
              <w:top w:val="single" w:sz="4" w:space="0" w:color="auto"/>
              <w:left w:val="nil"/>
              <w:bottom w:val="double" w:sz="6" w:space="0" w:color="auto"/>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5.732.007,21</w:t>
            </w:r>
          </w:p>
        </w:tc>
        <w:tc>
          <w:tcPr>
            <w:tcW w:w="1636" w:type="dxa"/>
            <w:tcBorders>
              <w:top w:val="single" w:sz="4" w:space="0" w:color="auto"/>
              <w:left w:val="nil"/>
              <w:bottom w:val="double" w:sz="6" w:space="0" w:color="auto"/>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5.838.694,83</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jc w:val="right"/>
              <w:rPr>
                <w:rFonts w:ascii="Tahoma" w:hAnsi="Tahoma" w:cs="Tahoma"/>
                <w:b/>
                <w:bCs/>
                <w:sz w:val="20"/>
                <w:szCs w:val="20"/>
              </w:rPr>
            </w:pPr>
          </w:p>
        </w:tc>
        <w:tc>
          <w:tcPr>
            <w:tcW w:w="6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u w:val="single"/>
              </w:rPr>
            </w:pPr>
            <w:r>
              <w:rPr>
                <w:rFonts w:ascii="Tahoma" w:hAnsi="Tahoma" w:cs="Tahoma"/>
                <w:b/>
                <w:bCs/>
                <w:sz w:val="20"/>
                <w:szCs w:val="20"/>
                <w:u w:val="single"/>
              </w:rPr>
              <w:t>ΚΑΘΑΡΗ ΘΕΣΗ</w:t>
            </w:r>
          </w:p>
        </w:tc>
        <w:tc>
          <w:tcPr>
            <w:tcW w:w="67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u w:val="single"/>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r>
      <w:tr w:rsidR="004A7C69" w:rsidTr="004A7C69">
        <w:trPr>
          <w:trHeight w:val="528"/>
        </w:trPr>
        <w:tc>
          <w:tcPr>
            <w:tcW w:w="4796" w:type="dxa"/>
            <w:tcBorders>
              <w:top w:val="nil"/>
              <w:left w:val="nil"/>
              <w:bottom w:val="nil"/>
              <w:right w:val="nil"/>
            </w:tcBorders>
            <w:shd w:val="clear" w:color="auto" w:fill="auto"/>
            <w:vAlign w:val="bottom"/>
            <w:hideMark/>
          </w:tcPr>
          <w:p w:rsidR="004A7C69" w:rsidRDefault="004A7C69">
            <w:pPr>
              <w:rPr>
                <w:rFonts w:ascii="Tahoma" w:hAnsi="Tahoma" w:cs="Tahoma"/>
                <w:b/>
                <w:bCs/>
                <w:sz w:val="20"/>
                <w:szCs w:val="20"/>
              </w:rPr>
            </w:pPr>
            <w:r>
              <w:rPr>
                <w:rFonts w:ascii="Tahoma" w:hAnsi="Tahoma" w:cs="Tahoma"/>
                <w:b/>
                <w:bCs/>
                <w:sz w:val="20"/>
                <w:szCs w:val="20"/>
              </w:rPr>
              <w:t>Κεφάλαιο και αποθεματικά αποδιδόμενα στους μετόχους της μητρικής</w:t>
            </w:r>
          </w:p>
        </w:tc>
        <w:tc>
          <w:tcPr>
            <w:tcW w:w="67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Μετοχικό Κεφάλαιο</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7.8</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1.830.000,00</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1.830.000,00</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Λοιπά αποθεματικά</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7.9</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529.254,69</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499.254,69</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Αποτελέσματα εις νέον</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7.9</w:t>
            </w:r>
          </w:p>
        </w:tc>
        <w:tc>
          <w:tcPr>
            <w:tcW w:w="1636" w:type="dxa"/>
            <w:tcBorders>
              <w:top w:val="nil"/>
              <w:left w:val="nil"/>
              <w:bottom w:val="single" w:sz="4" w:space="0" w:color="auto"/>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1.730.011,70</w:t>
            </w:r>
          </w:p>
        </w:tc>
        <w:tc>
          <w:tcPr>
            <w:tcW w:w="1636" w:type="dxa"/>
            <w:tcBorders>
              <w:top w:val="nil"/>
              <w:left w:val="nil"/>
              <w:bottom w:val="single" w:sz="4" w:space="0" w:color="auto"/>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1.777.301,25</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r>
              <w:rPr>
                <w:rFonts w:ascii="Tahoma" w:hAnsi="Tahoma" w:cs="Tahoma"/>
                <w:b/>
                <w:bCs/>
                <w:sz w:val="20"/>
                <w:szCs w:val="20"/>
              </w:rPr>
              <w:t>Σύνολο καθαρής θέσης (α)</w:t>
            </w:r>
          </w:p>
        </w:tc>
        <w:tc>
          <w:tcPr>
            <w:tcW w:w="67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p>
        </w:tc>
        <w:tc>
          <w:tcPr>
            <w:tcW w:w="1636" w:type="dxa"/>
            <w:tcBorders>
              <w:top w:val="nil"/>
              <w:left w:val="nil"/>
              <w:bottom w:val="double" w:sz="6" w:space="0" w:color="auto"/>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4.089.266,39</w:t>
            </w:r>
          </w:p>
        </w:tc>
        <w:tc>
          <w:tcPr>
            <w:tcW w:w="1636" w:type="dxa"/>
            <w:tcBorders>
              <w:top w:val="nil"/>
              <w:left w:val="nil"/>
              <w:bottom w:val="double" w:sz="6" w:space="0" w:color="auto"/>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4.106.555,94</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u w:val="single"/>
              </w:rPr>
            </w:pPr>
            <w:r>
              <w:rPr>
                <w:rFonts w:ascii="Tahoma" w:hAnsi="Tahoma" w:cs="Tahoma"/>
                <w:b/>
                <w:bCs/>
                <w:sz w:val="20"/>
                <w:szCs w:val="20"/>
                <w:u w:val="single"/>
              </w:rPr>
              <w:t>ΥΠΟΧΡΕΩΣΕΙΣ</w:t>
            </w:r>
          </w:p>
        </w:tc>
        <w:tc>
          <w:tcPr>
            <w:tcW w:w="67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u w:val="single"/>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r>
              <w:rPr>
                <w:rFonts w:ascii="Tahoma" w:hAnsi="Tahoma" w:cs="Tahoma"/>
                <w:b/>
                <w:bCs/>
                <w:sz w:val="20"/>
                <w:szCs w:val="20"/>
              </w:rPr>
              <w:t>Μακροπρόθεσμες υποχρεώσεις</w:t>
            </w:r>
          </w:p>
        </w:tc>
        <w:tc>
          <w:tcPr>
            <w:tcW w:w="67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Προβλέψεις για παροχές στους εργαζόμενους</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7.10</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40.885,59</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35.159,07</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Μακροπρόθεσμες δανειακές υποχρεώσεις</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7.11</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0,00</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0,00</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Αναβαλλόμενος φόρος εισοδήματος</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7.12</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167.834,20</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169.278,36</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Κρατικές επιχορηγήσεις</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7.13</w:t>
            </w:r>
          </w:p>
        </w:tc>
        <w:tc>
          <w:tcPr>
            <w:tcW w:w="1636" w:type="dxa"/>
            <w:tcBorders>
              <w:top w:val="nil"/>
              <w:left w:val="nil"/>
              <w:bottom w:val="single" w:sz="4" w:space="0" w:color="auto"/>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591.128,42</w:t>
            </w:r>
          </w:p>
        </w:tc>
        <w:tc>
          <w:tcPr>
            <w:tcW w:w="1636" w:type="dxa"/>
            <w:tcBorders>
              <w:top w:val="nil"/>
              <w:left w:val="nil"/>
              <w:bottom w:val="single" w:sz="4" w:space="0" w:color="auto"/>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620.519,61</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p>
        </w:tc>
        <w:tc>
          <w:tcPr>
            <w:tcW w:w="6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799.848,21</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824.957,04</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r>
              <w:rPr>
                <w:rFonts w:ascii="Tahoma" w:hAnsi="Tahoma" w:cs="Tahoma"/>
                <w:b/>
                <w:bCs/>
                <w:sz w:val="20"/>
                <w:szCs w:val="20"/>
              </w:rPr>
              <w:t>Βραχυπρόθεσμες υποχρεώσεις</w:t>
            </w:r>
          </w:p>
        </w:tc>
        <w:tc>
          <w:tcPr>
            <w:tcW w:w="67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rPr>
                <w:sz w:val="20"/>
                <w:szCs w:val="20"/>
              </w:rPr>
            </w:pP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Προμηθευτές και λοιπές εμπορικές υποχρεώσεις</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7.14</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643.671,50</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832.956,98</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Βραχυπρόθεσμες δανειακές υποχρεώσεις</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7.11</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2.241,28</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4.282,22</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Τρέχων φόρος εισοδήματος</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7.21</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147.312,91</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0,00</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sz w:val="20"/>
                <w:szCs w:val="20"/>
              </w:rPr>
            </w:pPr>
            <w:r>
              <w:rPr>
                <w:rFonts w:ascii="Tahoma" w:hAnsi="Tahoma" w:cs="Tahoma"/>
                <w:sz w:val="20"/>
                <w:szCs w:val="20"/>
              </w:rPr>
              <w:t>Έσοδα επόμενης χρήσης</w:t>
            </w:r>
          </w:p>
        </w:tc>
        <w:tc>
          <w:tcPr>
            <w:tcW w:w="676" w:type="dxa"/>
            <w:tcBorders>
              <w:top w:val="nil"/>
              <w:left w:val="nil"/>
              <w:bottom w:val="nil"/>
              <w:right w:val="nil"/>
            </w:tcBorders>
            <w:shd w:val="clear" w:color="auto" w:fill="auto"/>
            <w:noWrap/>
            <w:vAlign w:val="bottom"/>
            <w:hideMark/>
          </w:tcPr>
          <w:p w:rsidR="004A7C69" w:rsidRDefault="004A7C69">
            <w:pPr>
              <w:jc w:val="center"/>
              <w:rPr>
                <w:rFonts w:ascii="Tahoma" w:hAnsi="Tahoma" w:cs="Tahoma"/>
                <w:sz w:val="20"/>
                <w:szCs w:val="20"/>
              </w:rPr>
            </w:pPr>
            <w:r>
              <w:rPr>
                <w:rFonts w:ascii="Tahoma" w:hAnsi="Tahoma" w:cs="Tahoma"/>
                <w:sz w:val="20"/>
                <w:szCs w:val="20"/>
              </w:rPr>
              <w:t>7.13</w:t>
            </w:r>
          </w:p>
        </w:tc>
        <w:tc>
          <w:tcPr>
            <w:tcW w:w="1636" w:type="dxa"/>
            <w:tcBorders>
              <w:top w:val="nil"/>
              <w:left w:val="nil"/>
              <w:bottom w:val="single" w:sz="4" w:space="0" w:color="auto"/>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49.666,92</w:t>
            </w:r>
          </w:p>
        </w:tc>
        <w:tc>
          <w:tcPr>
            <w:tcW w:w="1636" w:type="dxa"/>
            <w:tcBorders>
              <w:top w:val="nil"/>
              <w:left w:val="nil"/>
              <w:bottom w:val="single" w:sz="4" w:space="0" w:color="auto"/>
              <w:right w:val="nil"/>
            </w:tcBorders>
            <w:shd w:val="clear" w:color="auto" w:fill="auto"/>
            <w:noWrap/>
            <w:vAlign w:val="bottom"/>
            <w:hideMark/>
          </w:tcPr>
          <w:p w:rsidR="004A7C69" w:rsidRDefault="004A7C69">
            <w:pPr>
              <w:jc w:val="right"/>
              <w:rPr>
                <w:rFonts w:ascii="Tahoma" w:hAnsi="Tahoma" w:cs="Tahoma"/>
                <w:sz w:val="20"/>
                <w:szCs w:val="20"/>
              </w:rPr>
            </w:pPr>
            <w:r>
              <w:rPr>
                <w:rFonts w:ascii="Tahoma" w:hAnsi="Tahoma" w:cs="Tahoma"/>
                <w:sz w:val="20"/>
                <w:szCs w:val="20"/>
              </w:rPr>
              <w:t>69.942,65</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jc w:val="right"/>
              <w:rPr>
                <w:rFonts w:ascii="Tahoma" w:hAnsi="Tahoma" w:cs="Tahoma"/>
                <w:sz w:val="20"/>
                <w:szCs w:val="20"/>
              </w:rPr>
            </w:pPr>
          </w:p>
        </w:tc>
        <w:tc>
          <w:tcPr>
            <w:tcW w:w="676" w:type="dxa"/>
            <w:tcBorders>
              <w:top w:val="nil"/>
              <w:left w:val="nil"/>
              <w:bottom w:val="nil"/>
              <w:right w:val="nil"/>
            </w:tcBorders>
            <w:shd w:val="clear" w:color="auto" w:fill="auto"/>
            <w:noWrap/>
            <w:vAlign w:val="bottom"/>
            <w:hideMark/>
          </w:tcPr>
          <w:p w:rsidR="004A7C69" w:rsidRDefault="004A7C69">
            <w:pPr>
              <w:rPr>
                <w:sz w:val="20"/>
                <w:szCs w:val="20"/>
              </w:rPr>
            </w:pP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842.892,61</w:t>
            </w:r>
          </w:p>
        </w:tc>
        <w:tc>
          <w:tcPr>
            <w:tcW w:w="1636" w:type="dxa"/>
            <w:tcBorders>
              <w:top w:val="nil"/>
              <w:left w:val="nil"/>
              <w:bottom w:val="nil"/>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907.181,85</w:t>
            </w:r>
          </w:p>
        </w:tc>
      </w:tr>
      <w:tr w:rsidR="004A7C69" w:rsidTr="004A7C69">
        <w:trPr>
          <w:trHeight w:val="360"/>
        </w:trPr>
        <w:tc>
          <w:tcPr>
            <w:tcW w:w="479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r>
              <w:rPr>
                <w:rFonts w:ascii="Tahoma" w:hAnsi="Tahoma" w:cs="Tahoma"/>
                <w:b/>
                <w:bCs/>
                <w:sz w:val="20"/>
                <w:szCs w:val="20"/>
              </w:rPr>
              <w:t>Σύνολο υποχρεώσεων (β)</w:t>
            </w:r>
          </w:p>
        </w:tc>
        <w:tc>
          <w:tcPr>
            <w:tcW w:w="676" w:type="dxa"/>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p>
        </w:tc>
        <w:tc>
          <w:tcPr>
            <w:tcW w:w="1636" w:type="dxa"/>
            <w:tcBorders>
              <w:top w:val="single" w:sz="4" w:space="0" w:color="auto"/>
              <w:left w:val="nil"/>
              <w:bottom w:val="double" w:sz="6" w:space="0" w:color="auto"/>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1.642.740,82</w:t>
            </w:r>
          </w:p>
        </w:tc>
        <w:tc>
          <w:tcPr>
            <w:tcW w:w="1636" w:type="dxa"/>
            <w:tcBorders>
              <w:top w:val="single" w:sz="4" w:space="0" w:color="auto"/>
              <w:left w:val="nil"/>
              <w:bottom w:val="double" w:sz="6" w:space="0" w:color="auto"/>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1.732.138,89</w:t>
            </w:r>
          </w:p>
        </w:tc>
      </w:tr>
      <w:tr w:rsidR="004A7C69" w:rsidTr="004A7C69">
        <w:trPr>
          <w:trHeight w:val="360"/>
        </w:trPr>
        <w:tc>
          <w:tcPr>
            <w:tcW w:w="5472" w:type="dxa"/>
            <w:gridSpan w:val="2"/>
            <w:tcBorders>
              <w:top w:val="nil"/>
              <w:left w:val="nil"/>
              <w:bottom w:val="nil"/>
              <w:right w:val="nil"/>
            </w:tcBorders>
            <w:shd w:val="clear" w:color="auto" w:fill="auto"/>
            <w:noWrap/>
            <w:vAlign w:val="bottom"/>
            <w:hideMark/>
          </w:tcPr>
          <w:p w:rsidR="004A7C69" w:rsidRDefault="004A7C69">
            <w:pPr>
              <w:rPr>
                <w:rFonts w:ascii="Tahoma" w:hAnsi="Tahoma" w:cs="Tahoma"/>
                <w:b/>
                <w:bCs/>
                <w:sz w:val="20"/>
                <w:szCs w:val="20"/>
              </w:rPr>
            </w:pPr>
            <w:r>
              <w:rPr>
                <w:rFonts w:ascii="Tahoma" w:hAnsi="Tahoma" w:cs="Tahoma"/>
                <w:b/>
                <w:bCs/>
                <w:sz w:val="20"/>
                <w:szCs w:val="20"/>
              </w:rPr>
              <w:t>Σύνολο Καθαρής Θέσης και Υποχρεώσεων (α)+(β)</w:t>
            </w:r>
          </w:p>
        </w:tc>
        <w:tc>
          <w:tcPr>
            <w:tcW w:w="1636" w:type="dxa"/>
            <w:tcBorders>
              <w:top w:val="nil"/>
              <w:left w:val="nil"/>
              <w:bottom w:val="double" w:sz="6" w:space="0" w:color="auto"/>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5.732.007,21</w:t>
            </w:r>
          </w:p>
        </w:tc>
        <w:tc>
          <w:tcPr>
            <w:tcW w:w="1636" w:type="dxa"/>
            <w:tcBorders>
              <w:top w:val="nil"/>
              <w:left w:val="nil"/>
              <w:bottom w:val="double" w:sz="6" w:space="0" w:color="auto"/>
              <w:right w:val="nil"/>
            </w:tcBorders>
            <w:shd w:val="clear" w:color="auto" w:fill="auto"/>
            <w:noWrap/>
            <w:vAlign w:val="bottom"/>
            <w:hideMark/>
          </w:tcPr>
          <w:p w:rsidR="004A7C69" w:rsidRDefault="004A7C69">
            <w:pPr>
              <w:jc w:val="right"/>
              <w:rPr>
                <w:rFonts w:ascii="Tahoma" w:hAnsi="Tahoma" w:cs="Tahoma"/>
                <w:b/>
                <w:bCs/>
                <w:sz w:val="20"/>
                <w:szCs w:val="20"/>
              </w:rPr>
            </w:pPr>
            <w:r>
              <w:rPr>
                <w:rFonts w:ascii="Tahoma" w:hAnsi="Tahoma" w:cs="Tahoma"/>
                <w:b/>
                <w:bCs/>
                <w:sz w:val="20"/>
                <w:szCs w:val="20"/>
              </w:rPr>
              <w:t>5.838.694,83</w:t>
            </w:r>
          </w:p>
        </w:tc>
      </w:tr>
    </w:tbl>
    <w:p w:rsidR="004A7C69" w:rsidRDefault="004A7C69" w:rsidP="008A7FED">
      <w:pPr>
        <w:jc w:val="both"/>
        <w:rPr>
          <w:rFonts w:ascii="Tahoma" w:hAnsi="Tahoma" w:cs="Tahoma"/>
          <w:sz w:val="22"/>
          <w:szCs w:val="22"/>
          <w:lang w:val="en-US"/>
        </w:rPr>
      </w:pPr>
    </w:p>
    <w:p w:rsidR="004A7C69" w:rsidRDefault="004A7C69" w:rsidP="008A7FED">
      <w:pPr>
        <w:jc w:val="both"/>
        <w:rPr>
          <w:rFonts w:ascii="Tahoma" w:hAnsi="Tahoma" w:cs="Tahoma"/>
          <w:sz w:val="22"/>
          <w:szCs w:val="22"/>
          <w:lang w:val="en-US"/>
        </w:rPr>
      </w:pPr>
    </w:p>
    <w:p w:rsidR="004A7C69" w:rsidRDefault="004A7C69" w:rsidP="008A7FED">
      <w:pPr>
        <w:jc w:val="both"/>
        <w:rPr>
          <w:rFonts w:ascii="Tahoma" w:hAnsi="Tahoma" w:cs="Tahoma"/>
          <w:sz w:val="22"/>
          <w:szCs w:val="22"/>
          <w:lang w:val="en-US"/>
        </w:rPr>
      </w:pPr>
    </w:p>
    <w:p w:rsidR="004A7C69" w:rsidRDefault="004A7C69" w:rsidP="008A7FED">
      <w:pPr>
        <w:jc w:val="both"/>
        <w:rPr>
          <w:rFonts w:ascii="Tahoma" w:hAnsi="Tahoma" w:cs="Tahoma"/>
          <w:sz w:val="22"/>
          <w:szCs w:val="22"/>
          <w:lang w:val="en-US"/>
        </w:rPr>
      </w:pPr>
    </w:p>
    <w:p w:rsidR="004A7C69" w:rsidRPr="00485A4C" w:rsidRDefault="004A7C69" w:rsidP="008A7FED">
      <w:pPr>
        <w:jc w:val="both"/>
        <w:rPr>
          <w:rFonts w:ascii="Tahoma" w:hAnsi="Tahoma" w:cs="Tahoma"/>
          <w:sz w:val="22"/>
          <w:szCs w:val="22"/>
          <w:highlight w:val="red"/>
        </w:rPr>
      </w:pPr>
    </w:p>
    <w:p w:rsidR="00D20605" w:rsidRDefault="00D20605" w:rsidP="00D20605">
      <w:pPr>
        <w:tabs>
          <w:tab w:val="left" w:pos="-851"/>
        </w:tabs>
        <w:spacing w:line="360" w:lineRule="auto"/>
        <w:ind w:right="-138"/>
        <w:jc w:val="center"/>
        <w:rPr>
          <w:rFonts w:ascii="Tahoma" w:hAnsi="Tahoma" w:cs="Tahoma"/>
          <w:sz w:val="22"/>
          <w:szCs w:val="22"/>
        </w:rPr>
      </w:pPr>
      <w:r w:rsidRPr="00485A4C">
        <w:rPr>
          <w:rFonts w:ascii="Tahoma" w:hAnsi="Tahoma" w:cs="Tahoma"/>
          <w:sz w:val="22"/>
          <w:szCs w:val="22"/>
        </w:rPr>
        <w:t>(Οι σημειώσεις στις σελ</w:t>
      </w:r>
      <w:r w:rsidR="00AA45D6" w:rsidRPr="00485A4C">
        <w:rPr>
          <w:rFonts w:ascii="Tahoma" w:hAnsi="Tahoma" w:cs="Tahoma"/>
          <w:sz w:val="22"/>
          <w:szCs w:val="22"/>
        </w:rPr>
        <w:t>ίδες 1</w:t>
      </w:r>
      <w:r w:rsidR="0025494D" w:rsidRPr="00485A4C">
        <w:rPr>
          <w:rFonts w:ascii="Tahoma" w:hAnsi="Tahoma" w:cs="Tahoma"/>
          <w:sz w:val="22"/>
          <w:szCs w:val="22"/>
          <w:lang w:val="en-US"/>
        </w:rPr>
        <w:t>0</w:t>
      </w:r>
      <w:r w:rsidRPr="00485A4C">
        <w:rPr>
          <w:rFonts w:ascii="Tahoma" w:hAnsi="Tahoma" w:cs="Tahoma"/>
          <w:sz w:val="22"/>
          <w:szCs w:val="22"/>
        </w:rPr>
        <w:t xml:space="preserve"> - </w:t>
      </w:r>
      <w:r w:rsidR="00D94651">
        <w:rPr>
          <w:rFonts w:ascii="Tahoma" w:hAnsi="Tahoma" w:cs="Tahoma"/>
          <w:sz w:val="22"/>
          <w:szCs w:val="22"/>
          <w:lang w:val="en-US"/>
        </w:rPr>
        <w:t>53</w:t>
      </w:r>
      <w:r w:rsidRPr="00485A4C">
        <w:rPr>
          <w:rFonts w:ascii="Tahoma" w:hAnsi="Tahoma" w:cs="Tahoma"/>
          <w:sz w:val="22"/>
          <w:szCs w:val="22"/>
        </w:rPr>
        <w:t xml:space="preserve"> αποτελούν αναπόσπαστο μέρος των οικονομικών καταστάσεων)</w:t>
      </w: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D94651" w:rsidRDefault="00D94651" w:rsidP="00D20605">
      <w:pPr>
        <w:tabs>
          <w:tab w:val="left" w:pos="-851"/>
        </w:tabs>
        <w:spacing w:line="360" w:lineRule="auto"/>
        <w:ind w:right="-138"/>
        <w:jc w:val="center"/>
        <w:rPr>
          <w:rFonts w:ascii="Tahoma" w:hAnsi="Tahoma" w:cs="Tahoma"/>
          <w:sz w:val="22"/>
          <w:szCs w:val="22"/>
        </w:rPr>
      </w:pPr>
    </w:p>
    <w:p w:rsidR="00D94651" w:rsidRDefault="00D94651" w:rsidP="00D20605">
      <w:pPr>
        <w:tabs>
          <w:tab w:val="left" w:pos="-851"/>
        </w:tabs>
        <w:spacing w:line="360" w:lineRule="auto"/>
        <w:ind w:right="-138"/>
        <w:jc w:val="center"/>
        <w:rPr>
          <w:rFonts w:ascii="Tahoma" w:hAnsi="Tahoma" w:cs="Tahoma"/>
          <w:sz w:val="22"/>
          <w:szCs w:val="22"/>
        </w:rPr>
      </w:pPr>
    </w:p>
    <w:p w:rsidR="00D94651" w:rsidRDefault="00D94651" w:rsidP="00D20605">
      <w:pPr>
        <w:tabs>
          <w:tab w:val="left" w:pos="-851"/>
        </w:tabs>
        <w:spacing w:line="360" w:lineRule="auto"/>
        <w:ind w:right="-138"/>
        <w:jc w:val="center"/>
        <w:rPr>
          <w:rFonts w:ascii="Tahoma" w:hAnsi="Tahoma" w:cs="Tahoma"/>
          <w:sz w:val="22"/>
          <w:szCs w:val="22"/>
        </w:rPr>
      </w:pPr>
    </w:p>
    <w:p w:rsidR="00D94651" w:rsidRDefault="00D94651" w:rsidP="00D20605">
      <w:pPr>
        <w:tabs>
          <w:tab w:val="left" w:pos="-851"/>
        </w:tabs>
        <w:spacing w:line="360" w:lineRule="auto"/>
        <w:ind w:right="-138"/>
        <w:jc w:val="center"/>
        <w:rPr>
          <w:rFonts w:ascii="Tahoma" w:hAnsi="Tahoma" w:cs="Tahoma"/>
          <w:sz w:val="22"/>
          <w:szCs w:val="22"/>
        </w:rPr>
      </w:pPr>
    </w:p>
    <w:p w:rsidR="00D94651" w:rsidRDefault="00D94651" w:rsidP="00D20605">
      <w:pPr>
        <w:tabs>
          <w:tab w:val="left" w:pos="-851"/>
        </w:tabs>
        <w:spacing w:line="360" w:lineRule="auto"/>
        <w:ind w:right="-138"/>
        <w:jc w:val="center"/>
        <w:rPr>
          <w:rFonts w:ascii="Tahoma" w:hAnsi="Tahoma" w:cs="Tahoma"/>
          <w:sz w:val="22"/>
          <w:szCs w:val="22"/>
        </w:rPr>
      </w:pPr>
    </w:p>
    <w:p w:rsidR="00D94651" w:rsidRDefault="00D94651" w:rsidP="00D20605">
      <w:pPr>
        <w:tabs>
          <w:tab w:val="left" w:pos="-851"/>
        </w:tabs>
        <w:spacing w:line="360" w:lineRule="auto"/>
        <w:ind w:right="-138"/>
        <w:jc w:val="center"/>
        <w:rPr>
          <w:rFonts w:ascii="Tahoma" w:hAnsi="Tahoma" w:cs="Tahoma"/>
          <w:sz w:val="22"/>
          <w:szCs w:val="22"/>
        </w:rPr>
      </w:pPr>
    </w:p>
    <w:p w:rsidR="00D94651" w:rsidRDefault="00D94651" w:rsidP="00D20605">
      <w:pPr>
        <w:tabs>
          <w:tab w:val="left" w:pos="-851"/>
        </w:tabs>
        <w:spacing w:line="360" w:lineRule="auto"/>
        <w:ind w:right="-138"/>
        <w:jc w:val="center"/>
        <w:rPr>
          <w:rFonts w:ascii="Tahoma" w:hAnsi="Tahoma" w:cs="Tahoma"/>
          <w:sz w:val="22"/>
          <w:szCs w:val="22"/>
        </w:rPr>
      </w:pPr>
    </w:p>
    <w:p w:rsidR="00D94651" w:rsidRDefault="00D94651" w:rsidP="00D20605">
      <w:pPr>
        <w:tabs>
          <w:tab w:val="left" w:pos="-851"/>
        </w:tabs>
        <w:spacing w:line="360" w:lineRule="auto"/>
        <w:ind w:right="-138"/>
        <w:jc w:val="center"/>
        <w:rPr>
          <w:rFonts w:ascii="Tahoma" w:hAnsi="Tahoma" w:cs="Tahoma"/>
          <w:sz w:val="22"/>
          <w:szCs w:val="22"/>
        </w:rPr>
      </w:pPr>
    </w:p>
    <w:p w:rsidR="00D94651" w:rsidRDefault="00D94651"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Default="004A7C69" w:rsidP="00D20605">
      <w:pPr>
        <w:tabs>
          <w:tab w:val="left" w:pos="-851"/>
        </w:tabs>
        <w:spacing w:line="360" w:lineRule="auto"/>
        <w:ind w:right="-138"/>
        <w:jc w:val="center"/>
        <w:rPr>
          <w:rFonts w:ascii="Tahoma" w:hAnsi="Tahoma" w:cs="Tahoma"/>
          <w:sz w:val="22"/>
          <w:szCs w:val="22"/>
        </w:rPr>
      </w:pPr>
    </w:p>
    <w:p w:rsidR="004A7C69" w:rsidRPr="00485A4C" w:rsidRDefault="004A7C69" w:rsidP="00D20605">
      <w:pPr>
        <w:tabs>
          <w:tab w:val="left" w:pos="-851"/>
        </w:tabs>
        <w:spacing w:line="360" w:lineRule="auto"/>
        <w:ind w:right="-138"/>
        <w:jc w:val="center"/>
        <w:rPr>
          <w:rFonts w:ascii="Tahoma" w:hAnsi="Tahoma" w:cs="Tahoma"/>
        </w:rPr>
      </w:pPr>
    </w:p>
    <w:p w:rsidR="00164C4D" w:rsidRPr="00485A4C" w:rsidRDefault="00164C4D" w:rsidP="004A4C37">
      <w:pPr>
        <w:pStyle w:val="Heading2"/>
        <w:ind w:left="-540"/>
        <w:rPr>
          <w:rFonts w:ascii="Tahoma" w:hAnsi="Tahoma" w:cs="Tahoma"/>
          <w:b w:val="0"/>
          <w:sz w:val="22"/>
          <w:szCs w:val="22"/>
        </w:rPr>
      </w:pPr>
      <w:bookmarkStart w:id="8" w:name="RANGE!C3:G35"/>
      <w:bookmarkStart w:id="9" w:name="_Toc526260595"/>
      <w:bookmarkEnd w:id="8"/>
      <w:r w:rsidRPr="00485A4C">
        <w:rPr>
          <w:rFonts w:ascii="Tahoma" w:hAnsi="Tahoma" w:cs="Tahoma"/>
          <w:sz w:val="22"/>
          <w:szCs w:val="22"/>
        </w:rPr>
        <w:lastRenderedPageBreak/>
        <w:t>Κατάσταση Συνολικ</w:t>
      </w:r>
      <w:r w:rsidR="004A4C37" w:rsidRPr="00485A4C">
        <w:rPr>
          <w:rFonts w:ascii="Tahoma" w:hAnsi="Tahoma" w:cs="Tahoma"/>
          <w:sz w:val="22"/>
          <w:szCs w:val="22"/>
        </w:rPr>
        <w:t>ού</w:t>
      </w:r>
      <w:r w:rsidRPr="00485A4C">
        <w:rPr>
          <w:rFonts w:ascii="Tahoma" w:hAnsi="Tahoma" w:cs="Tahoma"/>
          <w:sz w:val="22"/>
          <w:szCs w:val="22"/>
        </w:rPr>
        <w:t xml:space="preserve"> Ε</w:t>
      </w:r>
      <w:r w:rsidR="004A4C37" w:rsidRPr="00485A4C">
        <w:rPr>
          <w:rFonts w:ascii="Tahoma" w:hAnsi="Tahoma" w:cs="Tahoma"/>
          <w:sz w:val="22"/>
          <w:szCs w:val="22"/>
        </w:rPr>
        <w:t>ι</w:t>
      </w:r>
      <w:r w:rsidRPr="00485A4C">
        <w:rPr>
          <w:rFonts w:ascii="Tahoma" w:hAnsi="Tahoma" w:cs="Tahoma"/>
          <w:sz w:val="22"/>
          <w:szCs w:val="22"/>
        </w:rPr>
        <w:t>σ</w:t>
      </w:r>
      <w:r w:rsidR="004A4C37" w:rsidRPr="00485A4C">
        <w:rPr>
          <w:rFonts w:ascii="Tahoma" w:hAnsi="Tahoma" w:cs="Tahoma"/>
          <w:sz w:val="22"/>
          <w:szCs w:val="22"/>
        </w:rPr>
        <w:t>ο</w:t>
      </w:r>
      <w:r w:rsidRPr="00485A4C">
        <w:rPr>
          <w:rFonts w:ascii="Tahoma" w:hAnsi="Tahoma" w:cs="Tahoma"/>
          <w:sz w:val="22"/>
          <w:szCs w:val="22"/>
        </w:rPr>
        <w:t>δ</w:t>
      </w:r>
      <w:r w:rsidR="004A4C37" w:rsidRPr="00485A4C">
        <w:rPr>
          <w:rFonts w:ascii="Tahoma" w:hAnsi="Tahoma" w:cs="Tahoma"/>
          <w:sz w:val="22"/>
          <w:szCs w:val="22"/>
        </w:rPr>
        <w:t>ήματος</w:t>
      </w:r>
      <w:r w:rsidRPr="00485A4C">
        <w:rPr>
          <w:rFonts w:ascii="Tahoma" w:hAnsi="Tahoma" w:cs="Tahoma"/>
          <w:sz w:val="22"/>
          <w:szCs w:val="22"/>
        </w:rPr>
        <w:t xml:space="preserve"> </w:t>
      </w:r>
      <w:r w:rsidRPr="00485A4C">
        <w:rPr>
          <w:rFonts w:ascii="Tahoma" w:hAnsi="Tahoma" w:cs="Tahoma"/>
          <w:b w:val="0"/>
          <w:sz w:val="22"/>
          <w:szCs w:val="22"/>
        </w:rPr>
        <w:t xml:space="preserve">(ποσά σε </w:t>
      </w:r>
      <w:r w:rsidR="004A4C37" w:rsidRPr="00485A4C">
        <w:rPr>
          <w:rFonts w:ascii="Tahoma" w:hAnsi="Tahoma" w:cs="Tahoma"/>
          <w:b w:val="0"/>
          <w:sz w:val="22"/>
          <w:szCs w:val="22"/>
        </w:rPr>
        <w:t>€</w:t>
      </w:r>
      <w:r w:rsidRPr="00485A4C">
        <w:rPr>
          <w:rFonts w:ascii="Tahoma" w:hAnsi="Tahoma" w:cs="Tahoma"/>
          <w:b w:val="0"/>
          <w:sz w:val="22"/>
          <w:szCs w:val="22"/>
        </w:rPr>
        <w:t>)</w:t>
      </w:r>
      <w:bookmarkEnd w:id="9"/>
    </w:p>
    <w:p w:rsidR="00164C4D" w:rsidRPr="00485A4C" w:rsidRDefault="00164C4D" w:rsidP="00164C4D">
      <w:pPr>
        <w:rPr>
          <w:rFonts w:ascii="Tahoma" w:hAnsi="Tahoma" w:cs="Tahoma"/>
          <w:highlight w:val="red"/>
        </w:rPr>
      </w:pPr>
    </w:p>
    <w:p w:rsidR="00164C4D" w:rsidRDefault="00164C4D" w:rsidP="008A7FED">
      <w:pPr>
        <w:rPr>
          <w:rFonts w:ascii="Tahoma" w:hAnsi="Tahoma" w:cs="Tahoma"/>
          <w:sz w:val="22"/>
          <w:szCs w:val="22"/>
          <w:lang w:val="en-US"/>
        </w:rPr>
      </w:pPr>
    </w:p>
    <w:tbl>
      <w:tblPr>
        <w:tblW w:w="8896" w:type="dxa"/>
        <w:tblLook w:val="04A0" w:firstRow="1" w:lastRow="0" w:firstColumn="1" w:lastColumn="0" w:noHBand="0" w:noVBand="1"/>
      </w:tblPr>
      <w:tblGrid>
        <w:gridCol w:w="3828"/>
        <w:gridCol w:w="676"/>
        <w:gridCol w:w="2296"/>
        <w:gridCol w:w="2096"/>
      </w:tblGrid>
      <w:tr w:rsidR="000E35A7" w:rsidTr="000E35A7">
        <w:trPr>
          <w:trHeight w:val="264"/>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r>
              <w:rPr>
                <w:rFonts w:ascii="Tahoma" w:hAnsi="Tahoma" w:cs="Tahoma"/>
                <w:b/>
                <w:bCs/>
                <w:sz w:val="20"/>
                <w:szCs w:val="20"/>
              </w:rPr>
              <w:t>ΙΙ. ΚΑΤΑΣΤΑΣΗ ΑΠΟΤΕΛΕΣΜΑΤΩΝ</w:t>
            </w:r>
          </w:p>
        </w:tc>
        <w:tc>
          <w:tcPr>
            <w:tcW w:w="676"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p>
        </w:tc>
        <w:tc>
          <w:tcPr>
            <w:tcW w:w="2296" w:type="dxa"/>
            <w:tcBorders>
              <w:top w:val="nil"/>
              <w:left w:val="nil"/>
              <w:bottom w:val="nil"/>
              <w:right w:val="nil"/>
            </w:tcBorders>
            <w:shd w:val="clear" w:color="auto" w:fill="auto"/>
            <w:noWrap/>
            <w:vAlign w:val="bottom"/>
            <w:hideMark/>
          </w:tcPr>
          <w:p w:rsidR="000E35A7" w:rsidRDefault="000E35A7">
            <w:pPr>
              <w:rPr>
                <w:sz w:val="20"/>
                <w:szCs w:val="20"/>
              </w:rPr>
            </w:pPr>
          </w:p>
        </w:tc>
        <w:tc>
          <w:tcPr>
            <w:tcW w:w="2096" w:type="dxa"/>
            <w:tcBorders>
              <w:top w:val="nil"/>
              <w:left w:val="nil"/>
              <w:bottom w:val="nil"/>
              <w:right w:val="nil"/>
            </w:tcBorders>
            <w:shd w:val="clear" w:color="auto" w:fill="auto"/>
            <w:noWrap/>
            <w:vAlign w:val="bottom"/>
            <w:hideMark/>
          </w:tcPr>
          <w:p w:rsidR="000E35A7" w:rsidRDefault="000E35A7">
            <w:pPr>
              <w:rPr>
                <w:sz w:val="20"/>
                <w:szCs w:val="20"/>
              </w:rPr>
            </w:pPr>
          </w:p>
        </w:tc>
      </w:tr>
      <w:tr w:rsidR="000E35A7" w:rsidTr="000E35A7">
        <w:trPr>
          <w:trHeight w:val="360"/>
        </w:trPr>
        <w:tc>
          <w:tcPr>
            <w:tcW w:w="3828" w:type="dxa"/>
            <w:tcBorders>
              <w:top w:val="nil"/>
              <w:left w:val="nil"/>
              <w:bottom w:val="nil"/>
              <w:right w:val="nil"/>
            </w:tcBorders>
            <w:shd w:val="clear" w:color="000000" w:fill="D9D9D9"/>
            <w:noWrap/>
            <w:vAlign w:val="bottom"/>
            <w:hideMark/>
          </w:tcPr>
          <w:p w:rsidR="000E35A7" w:rsidRDefault="000E35A7">
            <w:pPr>
              <w:rPr>
                <w:rFonts w:ascii="Tahoma" w:hAnsi="Tahoma" w:cs="Tahoma"/>
                <w:b/>
                <w:bCs/>
                <w:sz w:val="22"/>
                <w:szCs w:val="22"/>
              </w:rPr>
            </w:pPr>
            <w:r>
              <w:rPr>
                <w:rFonts w:ascii="Tahoma" w:hAnsi="Tahoma" w:cs="Tahoma"/>
                <w:b/>
                <w:bCs/>
                <w:sz w:val="22"/>
                <w:szCs w:val="22"/>
              </w:rPr>
              <w:t> </w:t>
            </w:r>
          </w:p>
        </w:tc>
        <w:tc>
          <w:tcPr>
            <w:tcW w:w="676" w:type="dxa"/>
            <w:tcBorders>
              <w:top w:val="nil"/>
              <w:left w:val="nil"/>
              <w:bottom w:val="nil"/>
              <w:right w:val="nil"/>
            </w:tcBorders>
            <w:shd w:val="clear" w:color="000000" w:fill="D9D9D9"/>
            <w:noWrap/>
            <w:vAlign w:val="bottom"/>
            <w:hideMark/>
          </w:tcPr>
          <w:p w:rsidR="000E35A7" w:rsidRDefault="000E35A7">
            <w:pPr>
              <w:rPr>
                <w:rFonts w:ascii="Tahoma" w:hAnsi="Tahoma" w:cs="Tahoma"/>
                <w:sz w:val="20"/>
                <w:szCs w:val="20"/>
              </w:rPr>
            </w:pPr>
            <w:r>
              <w:rPr>
                <w:rFonts w:ascii="Tahoma" w:hAnsi="Tahoma" w:cs="Tahoma"/>
                <w:sz w:val="20"/>
                <w:szCs w:val="20"/>
              </w:rPr>
              <w:t> </w:t>
            </w:r>
          </w:p>
        </w:tc>
        <w:tc>
          <w:tcPr>
            <w:tcW w:w="4392" w:type="dxa"/>
            <w:gridSpan w:val="2"/>
            <w:tcBorders>
              <w:top w:val="nil"/>
              <w:left w:val="nil"/>
              <w:bottom w:val="nil"/>
              <w:right w:val="nil"/>
            </w:tcBorders>
            <w:shd w:val="clear" w:color="000000" w:fill="D9D9D9"/>
            <w:noWrap/>
            <w:vAlign w:val="bottom"/>
            <w:hideMark/>
          </w:tcPr>
          <w:p w:rsidR="000E35A7" w:rsidRDefault="000E35A7">
            <w:pPr>
              <w:jc w:val="center"/>
              <w:rPr>
                <w:rFonts w:ascii="Tahoma" w:hAnsi="Tahoma" w:cs="Tahoma"/>
                <w:b/>
                <w:bCs/>
                <w:sz w:val="20"/>
                <w:szCs w:val="20"/>
              </w:rPr>
            </w:pPr>
            <w:r>
              <w:rPr>
                <w:rFonts w:ascii="Tahoma" w:hAnsi="Tahoma" w:cs="Tahoma"/>
                <w:b/>
                <w:bCs/>
                <w:sz w:val="20"/>
                <w:szCs w:val="20"/>
              </w:rPr>
              <w:t>Εταιρεία</w:t>
            </w:r>
          </w:p>
        </w:tc>
      </w:tr>
      <w:tr w:rsidR="000E35A7" w:rsidTr="000E35A7">
        <w:trPr>
          <w:trHeight w:val="360"/>
        </w:trPr>
        <w:tc>
          <w:tcPr>
            <w:tcW w:w="3828" w:type="dxa"/>
            <w:tcBorders>
              <w:top w:val="nil"/>
              <w:left w:val="nil"/>
              <w:bottom w:val="nil"/>
              <w:right w:val="nil"/>
            </w:tcBorders>
            <w:shd w:val="clear" w:color="000000" w:fill="D9D9D9"/>
            <w:noWrap/>
            <w:vAlign w:val="bottom"/>
            <w:hideMark/>
          </w:tcPr>
          <w:p w:rsidR="000E35A7" w:rsidRDefault="000E35A7">
            <w:pPr>
              <w:rPr>
                <w:rFonts w:ascii="Tahoma" w:hAnsi="Tahoma" w:cs="Tahoma"/>
                <w:b/>
                <w:bCs/>
                <w:sz w:val="22"/>
                <w:szCs w:val="22"/>
              </w:rPr>
            </w:pPr>
            <w:r>
              <w:rPr>
                <w:rFonts w:ascii="Tahoma" w:hAnsi="Tahoma" w:cs="Tahoma"/>
                <w:b/>
                <w:bCs/>
                <w:sz w:val="22"/>
                <w:szCs w:val="22"/>
              </w:rPr>
              <w:t> </w:t>
            </w:r>
          </w:p>
        </w:tc>
        <w:tc>
          <w:tcPr>
            <w:tcW w:w="676" w:type="dxa"/>
            <w:tcBorders>
              <w:top w:val="nil"/>
              <w:left w:val="nil"/>
              <w:bottom w:val="nil"/>
              <w:right w:val="nil"/>
            </w:tcBorders>
            <w:shd w:val="clear" w:color="000000" w:fill="D9D9D9"/>
            <w:noWrap/>
            <w:vAlign w:val="bottom"/>
            <w:hideMark/>
          </w:tcPr>
          <w:p w:rsidR="000E35A7" w:rsidRDefault="000E35A7">
            <w:pPr>
              <w:rPr>
                <w:rFonts w:ascii="Tahoma" w:hAnsi="Tahoma" w:cs="Tahoma"/>
                <w:b/>
                <w:bCs/>
                <w:sz w:val="20"/>
                <w:szCs w:val="20"/>
              </w:rPr>
            </w:pPr>
            <w:r>
              <w:rPr>
                <w:rFonts w:ascii="Tahoma" w:hAnsi="Tahoma" w:cs="Tahoma"/>
                <w:b/>
                <w:bCs/>
                <w:sz w:val="20"/>
                <w:szCs w:val="20"/>
              </w:rPr>
              <w:t>Σημ</w:t>
            </w:r>
          </w:p>
        </w:tc>
        <w:tc>
          <w:tcPr>
            <w:tcW w:w="2296" w:type="dxa"/>
            <w:tcBorders>
              <w:top w:val="nil"/>
              <w:left w:val="nil"/>
              <w:bottom w:val="nil"/>
              <w:right w:val="nil"/>
            </w:tcBorders>
            <w:shd w:val="clear" w:color="000000" w:fill="D9D9D9"/>
            <w:noWrap/>
            <w:vAlign w:val="bottom"/>
            <w:hideMark/>
          </w:tcPr>
          <w:p w:rsidR="000E35A7" w:rsidRDefault="000E35A7">
            <w:pPr>
              <w:jc w:val="center"/>
              <w:rPr>
                <w:rFonts w:ascii="Tahoma" w:hAnsi="Tahoma" w:cs="Tahoma"/>
                <w:b/>
                <w:bCs/>
                <w:sz w:val="20"/>
                <w:szCs w:val="20"/>
                <w:u w:val="single"/>
              </w:rPr>
            </w:pPr>
            <w:r>
              <w:rPr>
                <w:rFonts w:ascii="Tahoma" w:hAnsi="Tahoma" w:cs="Tahoma"/>
                <w:b/>
                <w:bCs/>
                <w:sz w:val="20"/>
                <w:szCs w:val="20"/>
                <w:u w:val="single"/>
              </w:rPr>
              <w:t>01.01.18-31.12.18</w:t>
            </w:r>
          </w:p>
        </w:tc>
        <w:tc>
          <w:tcPr>
            <w:tcW w:w="2096" w:type="dxa"/>
            <w:tcBorders>
              <w:top w:val="nil"/>
              <w:left w:val="nil"/>
              <w:bottom w:val="nil"/>
              <w:right w:val="nil"/>
            </w:tcBorders>
            <w:shd w:val="clear" w:color="000000" w:fill="D9D9D9"/>
            <w:noWrap/>
            <w:vAlign w:val="bottom"/>
            <w:hideMark/>
          </w:tcPr>
          <w:p w:rsidR="000E35A7" w:rsidRDefault="000E35A7">
            <w:pPr>
              <w:jc w:val="center"/>
              <w:rPr>
                <w:rFonts w:ascii="Tahoma" w:hAnsi="Tahoma" w:cs="Tahoma"/>
                <w:b/>
                <w:bCs/>
                <w:sz w:val="20"/>
                <w:szCs w:val="20"/>
                <w:u w:val="single"/>
              </w:rPr>
            </w:pPr>
            <w:r>
              <w:rPr>
                <w:rFonts w:ascii="Tahoma" w:hAnsi="Tahoma" w:cs="Tahoma"/>
                <w:b/>
                <w:bCs/>
                <w:sz w:val="20"/>
                <w:szCs w:val="20"/>
                <w:u w:val="single"/>
              </w:rPr>
              <w:t>01.01.17-31.12.17</w:t>
            </w:r>
          </w:p>
        </w:tc>
      </w:tr>
      <w:tr w:rsidR="000E35A7" w:rsidTr="000E35A7">
        <w:trPr>
          <w:trHeight w:val="360"/>
        </w:trPr>
        <w:tc>
          <w:tcPr>
            <w:tcW w:w="3828" w:type="dxa"/>
            <w:tcBorders>
              <w:top w:val="nil"/>
              <w:left w:val="nil"/>
              <w:bottom w:val="nil"/>
              <w:right w:val="nil"/>
            </w:tcBorders>
            <w:shd w:val="clear" w:color="000000" w:fill="D9D9D9"/>
            <w:noWrap/>
            <w:vAlign w:val="bottom"/>
            <w:hideMark/>
          </w:tcPr>
          <w:p w:rsidR="000E35A7" w:rsidRDefault="000E35A7">
            <w:pPr>
              <w:rPr>
                <w:rFonts w:ascii="Tahoma" w:hAnsi="Tahoma" w:cs="Tahoma"/>
                <w:b/>
                <w:bCs/>
                <w:sz w:val="22"/>
                <w:szCs w:val="22"/>
              </w:rPr>
            </w:pPr>
            <w:r>
              <w:rPr>
                <w:rFonts w:ascii="Tahoma" w:hAnsi="Tahoma" w:cs="Tahoma"/>
                <w:b/>
                <w:bCs/>
                <w:sz w:val="22"/>
                <w:szCs w:val="22"/>
              </w:rPr>
              <w:t> </w:t>
            </w:r>
          </w:p>
        </w:tc>
        <w:tc>
          <w:tcPr>
            <w:tcW w:w="676" w:type="dxa"/>
            <w:tcBorders>
              <w:top w:val="nil"/>
              <w:left w:val="nil"/>
              <w:bottom w:val="nil"/>
              <w:right w:val="nil"/>
            </w:tcBorders>
            <w:shd w:val="clear" w:color="000000" w:fill="D9D9D9"/>
            <w:noWrap/>
            <w:vAlign w:val="bottom"/>
            <w:hideMark/>
          </w:tcPr>
          <w:p w:rsidR="000E35A7" w:rsidRDefault="000E35A7">
            <w:pPr>
              <w:rPr>
                <w:rFonts w:ascii="Tahoma" w:hAnsi="Tahoma" w:cs="Tahoma"/>
                <w:sz w:val="20"/>
                <w:szCs w:val="20"/>
              </w:rPr>
            </w:pPr>
            <w:r>
              <w:rPr>
                <w:rFonts w:ascii="Tahoma" w:hAnsi="Tahoma" w:cs="Tahoma"/>
                <w:sz w:val="20"/>
                <w:szCs w:val="20"/>
              </w:rPr>
              <w:t> </w:t>
            </w:r>
          </w:p>
        </w:tc>
        <w:tc>
          <w:tcPr>
            <w:tcW w:w="2296" w:type="dxa"/>
            <w:tcBorders>
              <w:top w:val="nil"/>
              <w:left w:val="nil"/>
              <w:bottom w:val="nil"/>
              <w:right w:val="nil"/>
            </w:tcBorders>
            <w:shd w:val="clear" w:color="000000" w:fill="D9D9D9"/>
            <w:noWrap/>
            <w:vAlign w:val="bottom"/>
            <w:hideMark/>
          </w:tcPr>
          <w:p w:rsidR="000E35A7" w:rsidRDefault="000E35A7">
            <w:pPr>
              <w:rPr>
                <w:rFonts w:ascii="Tahoma" w:hAnsi="Tahoma" w:cs="Tahoma"/>
                <w:sz w:val="20"/>
                <w:szCs w:val="20"/>
              </w:rPr>
            </w:pPr>
            <w:r>
              <w:rPr>
                <w:rFonts w:ascii="Tahoma" w:hAnsi="Tahoma" w:cs="Tahoma"/>
                <w:sz w:val="20"/>
                <w:szCs w:val="20"/>
              </w:rPr>
              <w:t> </w:t>
            </w:r>
          </w:p>
        </w:tc>
        <w:tc>
          <w:tcPr>
            <w:tcW w:w="2096" w:type="dxa"/>
            <w:tcBorders>
              <w:top w:val="nil"/>
              <w:left w:val="nil"/>
              <w:bottom w:val="nil"/>
              <w:right w:val="nil"/>
            </w:tcBorders>
            <w:shd w:val="clear" w:color="000000" w:fill="D9D9D9"/>
            <w:noWrap/>
            <w:vAlign w:val="bottom"/>
            <w:hideMark/>
          </w:tcPr>
          <w:p w:rsidR="000E35A7" w:rsidRDefault="000E35A7">
            <w:pPr>
              <w:rPr>
                <w:rFonts w:ascii="Tahoma" w:hAnsi="Tahoma" w:cs="Tahoma"/>
                <w:sz w:val="20"/>
                <w:szCs w:val="20"/>
              </w:rPr>
            </w:pPr>
            <w:r>
              <w:rPr>
                <w:rFonts w:ascii="Tahoma" w:hAnsi="Tahoma" w:cs="Tahoma"/>
                <w:sz w:val="20"/>
                <w:szCs w:val="20"/>
              </w:rPr>
              <w:t> </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sz w:val="20"/>
                <w:szCs w:val="20"/>
              </w:rPr>
            </w:pPr>
            <w:r>
              <w:rPr>
                <w:rFonts w:ascii="Tahoma" w:hAnsi="Tahoma" w:cs="Tahoma"/>
                <w:sz w:val="20"/>
                <w:szCs w:val="20"/>
              </w:rPr>
              <w:t>Πωλήσεις</w:t>
            </w:r>
          </w:p>
        </w:tc>
        <w:tc>
          <w:tcPr>
            <w:tcW w:w="676" w:type="dxa"/>
            <w:tcBorders>
              <w:top w:val="nil"/>
              <w:left w:val="nil"/>
              <w:bottom w:val="nil"/>
              <w:right w:val="nil"/>
            </w:tcBorders>
            <w:shd w:val="clear" w:color="auto" w:fill="auto"/>
            <w:noWrap/>
            <w:vAlign w:val="bottom"/>
            <w:hideMark/>
          </w:tcPr>
          <w:p w:rsidR="000E35A7" w:rsidRDefault="000E35A7">
            <w:pPr>
              <w:jc w:val="center"/>
              <w:rPr>
                <w:rFonts w:ascii="Tahoma" w:hAnsi="Tahoma" w:cs="Tahoma"/>
                <w:sz w:val="20"/>
                <w:szCs w:val="20"/>
              </w:rPr>
            </w:pPr>
            <w:r>
              <w:rPr>
                <w:rFonts w:ascii="Tahoma" w:hAnsi="Tahoma" w:cs="Tahoma"/>
                <w:sz w:val="20"/>
                <w:szCs w:val="20"/>
              </w:rPr>
              <w:t>7.15</w:t>
            </w:r>
          </w:p>
        </w:tc>
        <w:tc>
          <w:tcPr>
            <w:tcW w:w="22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3.166.028,45</w:t>
            </w:r>
          </w:p>
        </w:tc>
        <w:tc>
          <w:tcPr>
            <w:tcW w:w="20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3.435.089,10</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sz w:val="20"/>
                <w:szCs w:val="20"/>
              </w:rPr>
            </w:pPr>
            <w:r>
              <w:rPr>
                <w:rFonts w:ascii="Tahoma" w:hAnsi="Tahoma" w:cs="Tahoma"/>
                <w:sz w:val="20"/>
                <w:szCs w:val="20"/>
              </w:rPr>
              <w:t>Κόστος πωληθέντων</w:t>
            </w:r>
          </w:p>
        </w:tc>
        <w:tc>
          <w:tcPr>
            <w:tcW w:w="676" w:type="dxa"/>
            <w:tcBorders>
              <w:top w:val="nil"/>
              <w:left w:val="nil"/>
              <w:bottom w:val="nil"/>
              <w:right w:val="nil"/>
            </w:tcBorders>
            <w:shd w:val="clear" w:color="auto" w:fill="auto"/>
            <w:noWrap/>
            <w:vAlign w:val="bottom"/>
            <w:hideMark/>
          </w:tcPr>
          <w:p w:rsidR="000E35A7" w:rsidRDefault="000E35A7">
            <w:pPr>
              <w:jc w:val="center"/>
              <w:rPr>
                <w:rFonts w:ascii="Tahoma" w:hAnsi="Tahoma" w:cs="Tahoma"/>
                <w:sz w:val="20"/>
                <w:szCs w:val="20"/>
              </w:rPr>
            </w:pPr>
            <w:r>
              <w:rPr>
                <w:rFonts w:ascii="Tahoma" w:hAnsi="Tahoma" w:cs="Tahoma"/>
                <w:sz w:val="20"/>
                <w:szCs w:val="20"/>
              </w:rPr>
              <w:t>7.17</w:t>
            </w:r>
          </w:p>
        </w:tc>
        <w:tc>
          <w:tcPr>
            <w:tcW w:w="2296" w:type="dxa"/>
            <w:tcBorders>
              <w:top w:val="nil"/>
              <w:left w:val="nil"/>
              <w:bottom w:val="single" w:sz="4" w:space="0" w:color="auto"/>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1.988.473,54</w:t>
            </w:r>
          </w:p>
        </w:tc>
        <w:tc>
          <w:tcPr>
            <w:tcW w:w="2096" w:type="dxa"/>
            <w:tcBorders>
              <w:top w:val="nil"/>
              <w:left w:val="nil"/>
              <w:bottom w:val="single" w:sz="4" w:space="0" w:color="auto"/>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2.129.286,19</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r>
              <w:rPr>
                <w:rFonts w:ascii="Tahoma" w:hAnsi="Tahoma" w:cs="Tahoma"/>
                <w:b/>
                <w:bCs/>
                <w:sz w:val="20"/>
                <w:szCs w:val="20"/>
              </w:rPr>
              <w:t>Μικτό κέρδος</w:t>
            </w:r>
          </w:p>
        </w:tc>
        <w:tc>
          <w:tcPr>
            <w:tcW w:w="676"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p>
        </w:tc>
        <w:tc>
          <w:tcPr>
            <w:tcW w:w="22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b/>
                <w:bCs/>
                <w:sz w:val="20"/>
                <w:szCs w:val="20"/>
              </w:rPr>
            </w:pPr>
            <w:r>
              <w:rPr>
                <w:rFonts w:ascii="Tahoma" w:hAnsi="Tahoma" w:cs="Tahoma"/>
                <w:b/>
                <w:bCs/>
                <w:sz w:val="20"/>
                <w:szCs w:val="20"/>
              </w:rPr>
              <w:t>1.177.554,91</w:t>
            </w:r>
          </w:p>
        </w:tc>
        <w:tc>
          <w:tcPr>
            <w:tcW w:w="20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b/>
                <w:bCs/>
                <w:sz w:val="20"/>
                <w:szCs w:val="20"/>
              </w:rPr>
            </w:pPr>
            <w:r>
              <w:rPr>
                <w:rFonts w:ascii="Tahoma" w:hAnsi="Tahoma" w:cs="Tahoma"/>
                <w:b/>
                <w:bCs/>
                <w:sz w:val="20"/>
                <w:szCs w:val="20"/>
              </w:rPr>
              <w:t>1.305.802,91</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sz w:val="20"/>
                <w:szCs w:val="20"/>
              </w:rPr>
            </w:pPr>
            <w:r>
              <w:rPr>
                <w:rFonts w:ascii="Tahoma" w:hAnsi="Tahoma" w:cs="Tahoma"/>
                <w:sz w:val="20"/>
                <w:szCs w:val="20"/>
              </w:rPr>
              <w:t xml:space="preserve">Άλλα έσοδα </w:t>
            </w:r>
          </w:p>
        </w:tc>
        <w:tc>
          <w:tcPr>
            <w:tcW w:w="676" w:type="dxa"/>
            <w:tcBorders>
              <w:top w:val="nil"/>
              <w:left w:val="nil"/>
              <w:bottom w:val="nil"/>
              <w:right w:val="nil"/>
            </w:tcBorders>
            <w:shd w:val="clear" w:color="auto" w:fill="auto"/>
            <w:noWrap/>
            <w:vAlign w:val="bottom"/>
            <w:hideMark/>
          </w:tcPr>
          <w:p w:rsidR="000E35A7" w:rsidRDefault="000E35A7">
            <w:pPr>
              <w:jc w:val="center"/>
              <w:rPr>
                <w:rFonts w:ascii="Tahoma" w:hAnsi="Tahoma" w:cs="Tahoma"/>
                <w:sz w:val="20"/>
                <w:szCs w:val="20"/>
              </w:rPr>
            </w:pPr>
            <w:r>
              <w:rPr>
                <w:rFonts w:ascii="Tahoma" w:hAnsi="Tahoma" w:cs="Tahoma"/>
                <w:sz w:val="20"/>
                <w:szCs w:val="20"/>
              </w:rPr>
              <w:t>7.16</w:t>
            </w:r>
          </w:p>
        </w:tc>
        <w:tc>
          <w:tcPr>
            <w:tcW w:w="22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62.451,82</w:t>
            </w:r>
          </w:p>
        </w:tc>
        <w:tc>
          <w:tcPr>
            <w:tcW w:w="20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78.220,76</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sz w:val="20"/>
                <w:szCs w:val="20"/>
              </w:rPr>
            </w:pPr>
            <w:r>
              <w:rPr>
                <w:rFonts w:ascii="Tahoma" w:hAnsi="Tahoma" w:cs="Tahoma"/>
                <w:sz w:val="20"/>
                <w:szCs w:val="20"/>
              </w:rPr>
              <w:t>Έξοδα διοικήσεως</w:t>
            </w:r>
          </w:p>
        </w:tc>
        <w:tc>
          <w:tcPr>
            <w:tcW w:w="676" w:type="dxa"/>
            <w:tcBorders>
              <w:top w:val="nil"/>
              <w:left w:val="nil"/>
              <w:bottom w:val="nil"/>
              <w:right w:val="nil"/>
            </w:tcBorders>
            <w:shd w:val="clear" w:color="auto" w:fill="auto"/>
            <w:noWrap/>
            <w:vAlign w:val="bottom"/>
            <w:hideMark/>
          </w:tcPr>
          <w:p w:rsidR="000E35A7" w:rsidRDefault="000E35A7">
            <w:pPr>
              <w:jc w:val="center"/>
              <w:rPr>
                <w:rFonts w:ascii="Tahoma" w:hAnsi="Tahoma" w:cs="Tahoma"/>
                <w:sz w:val="20"/>
                <w:szCs w:val="20"/>
              </w:rPr>
            </w:pPr>
            <w:r>
              <w:rPr>
                <w:rFonts w:ascii="Tahoma" w:hAnsi="Tahoma" w:cs="Tahoma"/>
                <w:sz w:val="20"/>
                <w:szCs w:val="20"/>
              </w:rPr>
              <w:t>7.17</w:t>
            </w:r>
          </w:p>
        </w:tc>
        <w:tc>
          <w:tcPr>
            <w:tcW w:w="22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336.610,40</w:t>
            </w:r>
          </w:p>
        </w:tc>
        <w:tc>
          <w:tcPr>
            <w:tcW w:w="20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348.926,95</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sz w:val="20"/>
                <w:szCs w:val="20"/>
              </w:rPr>
            </w:pPr>
            <w:r>
              <w:rPr>
                <w:rFonts w:ascii="Tahoma" w:hAnsi="Tahoma" w:cs="Tahoma"/>
                <w:sz w:val="20"/>
                <w:szCs w:val="20"/>
              </w:rPr>
              <w:t>Έξοδα διαθέσεως</w:t>
            </w:r>
          </w:p>
        </w:tc>
        <w:tc>
          <w:tcPr>
            <w:tcW w:w="676" w:type="dxa"/>
            <w:tcBorders>
              <w:top w:val="nil"/>
              <w:left w:val="nil"/>
              <w:bottom w:val="nil"/>
              <w:right w:val="nil"/>
            </w:tcBorders>
            <w:shd w:val="clear" w:color="auto" w:fill="auto"/>
            <w:noWrap/>
            <w:vAlign w:val="bottom"/>
            <w:hideMark/>
          </w:tcPr>
          <w:p w:rsidR="000E35A7" w:rsidRDefault="000E35A7">
            <w:pPr>
              <w:jc w:val="center"/>
              <w:rPr>
                <w:rFonts w:ascii="Tahoma" w:hAnsi="Tahoma" w:cs="Tahoma"/>
                <w:sz w:val="20"/>
                <w:szCs w:val="20"/>
              </w:rPr>
            </w:pPr>
            <w:r>
              <w:rPr>
                <w:rFonts w:ascii="Tahoma" w:hAnsi="Tahoma" w:cs="Tahoma"/>
                <w:sz w:val="20"/>
                <w:szCs w:val="20"/>
              </w:rPr>
              <w:t>7.17</w:t>
            </w:r>
          </w:p>
        </w:tc>
        <w:tc>
          <w:tcPr>
            <w:tcW w:w="22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383.999,04</w:t>
            </w:r>
          </w:p>
        </w:tc>
        <w:tc>
          <w:tcPr>
            <w:tcW w:w="20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338.603,58</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sz w:val="20"/>
                <w:szCs w:val="20"/>
              </w:rPr>
            </w:pPr>
            <w:r>
              <w:rPr>
                <w:rFonts w:ascii="Tahoma" w:hAnsi="Tahoma" w:cs="Tahoma"/>
                <w:sz w:val="20"/>
                <w:szCs w:val="20"/>
              </w:rPr>
              <w:t xml:space="preserve">Αλλα έξοδα </w:t>
            </w:r>
          </w:p>
        </w:tc>
        <w:tc>
          <w:tcPr>
            <w:tcW w:w="676" w:type="dxa"/>
            <w:tcBorders>
              <w:top w:val="nil"/>
              <w:left w:val="nil"/>
              <w:bottom w:val="nil"/>
              <w:right w:val="nil"/>
            </w:tcBorders>
            <w:shd w:val="clear" w:color="auto" w:fill="auto"/>
            <w:noWrap/>
            <w:vAlign w:val="bottom"/>
            <w:hideMark/>
          </w:tcPr>
          <w:p w:rsidR="000E35A7" w:rsidRDefault="000E35A7">
            <w:pPr>
              <w:jc w:val="center"/>
              <w:rPr>
                <w:rFonts w:ascii="Tahoma" w:hAnsi="Tahoma" w:cs="Tahoma"/>
                <w:sz w:val="20"/>
                <w:szCs w:val="20"/>
              </w:rPr>
            </w:pPr>
            <w:r>
              <w:rPr>
                <w:rFonts w:ascii="Tahoma" w:hAnsi="Tahoma" w:cs="Tahoma"/>
                <w:sz w:val="20"/>
                <w:szCs w:val="20"/>
              </w:rPr>
              <w:t>7.18</w:t>
            </w:r>
          </w:p>
        </w:tc>
        <w:tc>
          <w:tcPr>
            <w:tcW w:w="2296" w:type="dxa"/>
            <w:tcBorders>
              <w:top w:val="nil"/>
              <w:left w:val="nil"/>
              <w:bottom w:val="single" w:sz="4" w:space="0" w:color="auto"/>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13,68</w:t>
            </w:r>
          </w:p>
        </w:tc>
        <w:tc>
          <w:tcPr>
            <w:tcW w:w="2096" w:type="dxa"/>
            <w:tcBorders>
              <w:top w:val="nil"/>
              <w:left w:val="nil"/>
              <w:bottom w:val="single" w:sz="4" w:space="0" w:color="auto"/>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47.290,71</w:t>
            </w:r>
          </w:p>
        </w:tc>
      </w:tr>
      <w:tr w:rsidR="000E35A7" w:rsidTr="000E35A7">
        <w:trPr>
          <w:trHeight w:val="555"/>
        </w:trPr>
        <w:tc>
          <w:tcPr>
            <w:tcW w:w="3828" w:type="dxa"/>
            <w:tcBorders>
              <w:top w:val="nil"/>
              <w:left w:val="nil"/>
              <w:bottom w:val="nil"/>
              <w:right w:val="nil"/>
            </w:tcBorders>
            <w:shd w:val="clear" w:color="auto" w:fill="auto"/>
            <w:vAlign w:val="bottom"/>
            <w:hideMark/>
          </w:tcPr>
          <w:p w:rsidR="000E35A7" w:rsidRDefault="000E35A7">
            <w:pPr>
              <w:rPr>
                <w:rFonts w:ascii="Tahoma" w:hAnsi="Tahoma" w:cs="Tahoma"/>
                <w:b/>
                <w:bCs/>
                <w:sz w:val="20"/>
                <w:szCs w:val="20"/>
              </w:rPr>
            </w:pPr>
            <w:r>
              <w:rPr>
                <w:rFonts w:ascii="Tahoma" w:hAnsi="Tahoma" w:cs="Tahoma"/>
                <w:b/>
                <w:bCs/>
                <w:sz w:val="20"/>
                <w:szCs w:val="20"/>
              </w:rPr>
              <w:t>Αποτελέσματα - κέρδη προ φόρων χρηματοδοτικών και επενδυτικών αποτελεσμάτων</w:t>
            </w:r>
          </w:p>
        </w:tc>
        <w:tc>
          <w:tcPr>
            <w:tcW w:w="676"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p>
        </w:tc>
        <w:tc>
          <w:tcPr>
            <w:tcW w:w="22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b/>
                <w:bCs/>
                <w:sz w:val="20"/>
                <w:szCs w:val="20"/>
              </w:rPr>
            </w:pPr>
            <w:r>
              <w:rPr>
                <w:rFonts w:ascii="Tahoma" w:hAnsi="Tahoma" w:cs="Tahoma"/>
                <w:b/>
                <w:bCs/>
                <w:sz w:val="20"/>
                <w:szCs w:val="20"/>
              </w:rPr>
              <w:t>519.383,61</w:t>
            </w:r>
          </w:p>
        </w:tc>
        <w:tc>
          <w:tcPr>
            <w:tcW w:w="20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b/>
                <w:bCs/>
                <w:sz w:val="20"/>
                <w:szCs w:val="20"/>
              </w:rPr>
            </w:pPr>
            <w:r>
              <w:rPr>
                <w:rFonts w:ascii="Tahoma" w:hAnsi="Tahoma" w:cs="Tahoma"/>
                <w:b/>
                <w:bCs/>
                <w:sz w:val="20"/>
                <w:szCs w:val="20"/>
              </w:rPr>
              <w:t>649.202,43</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sz w:val="20"/>
                <w:szCs w:val="20"/>
              </w:rPr>
            </w:pPr>
            <w:r>
              <w:rPr>
                <w:rFonts w:ascii="Tahoma" w:hAnsi="Tahoma" w:cs="Tahoma"/>
                <w:sz w:val="20"/>
                <w:szCs w:val="20"/>
              </w:rPr>
              <w:t xml:space="preserve">Χρηματοοικονομικά έσοδα </w:t>
            </w:r>
          </w:p>
        </w:tc>
        <w:tc>
          <w:tcPr>
            <w:tcW w:w="676" w:type="dxa"/>
            <w:tcBorders>
              <w:top w:val="nil"/>
              <w:left w:val="nil"/>
              <w:bottom w:val="nil"/>
              <w:right w:val="nil"/>
            </w:tcBorders>
            <w:shd w:val="clear" w:color="auto" w:fill="auto"/>
            <w:noWrap/>
            <w:vAlign w:val="bottom"/>
            <w:hideMark/>
          </w:tcPr>
          <w:p w:rsidR="000E35A7" w:rsidRDefault="000E35A7">
            <w:pPr>
              <w:jc w:val="center"/>
              <w:rPr>
                <w:rFonts w:ascii="Tahoma" w:hAnsi="Tahoma" w:cs="Tahoma"/>
                <w:sz w:val="20"/>
                <w:szCs w:val="20"/>
              </w:rPr>
            </w:pPr>
            <w:r>
              <w:rPr>
                <w:rFonts w:ascii="Tahoma" w:hAnsi="Tahoma" w:cs="Tahoma"/>
                <w:sz w:val="20"/>
                <w:szCs w:val="20"/>
              </w:rPr>
              <w:t>7.19</w:t>
            </w:r>
          </w:p>
        </w:tc>
        <w:tc>
          <w:tcPr>
            <w:tcW w:w="22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703,66</w:t>
            </w:r>
          </w:p>
        </w:tc>
        <w:tc>
          <w:tcPr>
            <w:tcW w:w="20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175,89</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sz w:val="20"/>
                <w:szCs w:val="20"/>
              </w:rPr>
            </w:pPr>
            <w:r>
              <w:rPr>
                <w:rFonts w:ascii="Tahoma" w:hAnsi="Tahoma" w:cs="Tahoma"/>
                <w:sz w:val="20"/>
                <w:szCs w:val="20"/>
              </w:rPr>
              <w:t xml:space="preserve">Χρηματοοικονομικά έξοδα </w:t>
            </w:r>
          </w:p>
        </w:tc>
        <w:tc>
          <w:tcPr>
            <w:tcW w:w="676" w:type="dxa"/>
            <w:tcBorders>
              <w:top w:val="nil"/>
              <w:left w:val="nil"/>
              <w:bottom w:val="nil"/>
              <w:right w:val="nil"/>
            </w:tcBorders>
            <w:shd w:val="clear" w:color="auto" w:fill="auto"/>
            <w:noWrap/>
            <w:vAlign w:val="bottom"/>
            <w:hideMark/>
          </w:tcPr>
          <w:p w:rsidR="000E35A7" w:rsidRDefault="000E35A7">
            <w:pPr>
              <w:jc w:val="center"/>
              <w:rPr>
                <w:rFonts w:ascii="Tahoma" w:hAnsi="Tahoma" w:cs="Tahoma"/>
                <w:sz w:val="20"/>
                <w:szCs w:val="20"/>
              </w:rPr>
            </w:pPr>
            <w:r>
              <w:rPr>
                <w:rFonts w:ascii="Tahoma" w:hAnsi="Tahoma" w:cs="Tahoma"/>
                <w:sz w:val="20"/>
                <w:szCs w:val="20"/>
              </w:rPr>
              <w:t>7.20</w:t>
            </w:r>
          </w:p>
        </w:tc>
        <w:tc>
          <w:tcPr>
            <w:tcW w:w="2296" w:type="dxa"/>
            <w:tcBorders>
              <w:top w:val="nil"/>
              <w:left w:val="nil"/>
              <w:bottom w:val="single" w:sz="4" w:space="0" w:color="auto"/>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1.508,08</w:t>
            </w:r>
          </w:p>
        </w:tc>
        <w:tc>
          <w:tcPr>
            <w:tcW w:w="2096" w:type="dxa"/>
            <w:tcBorders>
              <w:top w:val="nil"/>
              <w:left w:val="nil"/>
              <w:bottom w:val="single" w:sz="4" w:space="0" w:color="auto"/>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1.135,37</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r>
              <w:rPr>
                <w:rFonts w:ascii="Tahoma" w:hAnsi="Tahoma" w:cs="Tahoma"/>
                <w:b/>
                <w:bCs/>
                <w:sz w:val="20"/>
                <w:szCs w:val="20"/>
              </w:rPr>
              <w:t>Κέρδη προ φόρων</w:t>
            </w:r>
          </w:p>
        </w:tc>
        <w:tc>
          <w:tcPr>
            <w:tcW w:w="676"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p>
        </w:tc>
        <w:tc>
          <w:tcPr>
            <w:tcW w:w="22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b/>
                <w:bCs/>
                <w:sz w:val="20"/>
                <w:szCs w:val="20"/>
              </w:rPr>
            </w:pPr>
            <w:r>
              <w:rPr>
                <w:rFonts w:ascii="Tahoma" w:hAnsi="Tahoma" w:cs="Tahoma"/>
                <w:b/>
                <w:bCs/>
                <w:sz w:val="20"/>
                <w:szCs w:val="20"/>
              </w:rPr>
              <w:t>518.579,19</w:t>
            </w:r>
          </w:p>
        </w:tc>
        <w:tc>
          <w:tcPr>
            <w:tcW w:w="20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b/>
                <w:bCs/>
                <w:sz w:val="20"/>
                <w:szCs w:val="20"/>
              </w:rPr>
            </w:pPr>
            <w:r>
              <w:rPr>
                <w:rFonts w:ascii="Tahoma" w:hAnsi="Tahoma" w:cs="Tahoma"/>
                <w:b/>
                <w:bCs/>
                <w:sz w:val="20"/>
                <w:szCs w:val="20"/>
              </w:rPr>
              <w:t>648.242,95</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sz w:val="20"/>
                <w:szCs w:val="20"/>
              </w:rPr>
            </w:pPr>
            <w:r>
              <w:rPr>
                <w:rFonts w:ascii="Tahoma" w:hAnsi="Tahoma" w:cs="Tahoma"/>
                <w:sz w:val="20"/>
                <w:szCs w:val="20"/>
              </w:rPr>
              <w:t>Φόρος εισοδήματος</w:t>
            </w:r>
          </w:p>
        </w:tc>
        <w:tc>
          <w:tcPr>
            <w:tcW w:w="676" w:type="dxa"/>
            <w:tcBorders>
              <w:top w:val="nil"/>
              <w:left w:val="nil"/>
              <w:bottom w:val="nil"/>
              <w:right w:val="nil"/>
            </w:tcBorders>
            <w:shd w:val="clear" w:color="auto" w:fill="auto"/>
            <w:noWrap/>
            <w:vAlign w:val="bottom"/>
            <w:hideMark/>
          </w:tcPr>
          <w:p w:rsidR="000E35A7" w:rsidRDefault="000E35A7">
            <w:pPr>
              <w:jc w:val="center"/>
              <w:rPr>
                <w:rFonts w:ascii="Tahoma" w:hAnsi="Tahoma" w:cs="Tahoma"/>
                <w:sz w:val="20"/>
                <w:szCs w:val="20"/>
              </w:rPr>
            </w:pPr>
            <w:r>
              <w:rPr>
                <w:rFonts w:ascii="Tahoma" w:hAnsi="Tahoma" w:cs="Tahoma"/>
                <w:sz w:val="20"/>
                <w:szCs w:val="20"/>
              </w:rPr>
              <w:t>7.21</w:t>
            </w:r>
          </w:p>
        </w:tc>
        <w:tc>
          <w:tcPr>
            <w:tcW w:w="2296" w:type="dxa"/>
            <w:tcBorders>
              <w:top w:val="nil"/>
              <w:left w:val="nil"/>
              <w:bottom w:val="single" w:sz="4" w:space="0" w:color="auto"/>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145.868,74</w:t>
            </w:r>
          </w:p>
        </w:tc>
        <w:tc>
          <w:tcPr>
            <w:tcW w:w="2096" w:type="dxa"/>
            <w:tcBorders>
              <w:top w:val="nil"/>
              <w:left w:val="nil"/>
              <w:bottom w:val="single" w:sz="4" w:space="0" w:color="auto"/>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172.727,45</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r>
              <w:rPr>
                <w:rFonts w:ascii="Tahoma" w:hAnsi="Tahoma" w:cs="Tahoma"/>
                <w:b/>
                <w:bCs/>
                <w:sz w:val="20"/>
                <w:szCs w:val="20"/>
              </w:rPr>
              <w:t>Κέρδη μετά από φόρους (Α)</w:t>
            </w:r>
          </w:p>
        </w:tc>
        <w:tc>
          <w:tcPr>
            <w:tcW w:w="676"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p>
        </w:tc>
        <w:tc>
          <w:tcPr>
            <w:tcW w:w="2296" w:type="dxa"/>
            <w:tcBorders>
              <w:top w:val="nil"/>
              <w:left w:val="nil"/>
              <w:bottom w:val="double" w:sz="6" w:space="0" w:color="auto"/>
              <w:right w:val="nil"/>
            </w:tcBorders>
            <w:shd w:val="clear" w:color="auto" w:fill="auto"/>
            <w:noWrap/>
            <w:vAlign w:val="bottom"/>
            <w:hideMark/>
          </w:tcPr>
          <w:p w:rsidR="000E35A7" w:rsidRDefault="000E35A7">
            <w:pPr>
              <w:jc w:val="right"/>
              <w:rPr>
                <w:rFonts w:ascii="Tahoma" w:hAnsi="Tahoma" w:cs="Tahoma"/>
                <w:b/>
                <w:bCs/>
                <w:sz w:val="20"/>
                <w:szCs w:val="20"/>
              </w:rPr>
            </w:pPr>
            <w:r>
              <w:rPr>
                <w:rFonts w:ascii="Tahoma" w:hAnsi="Tahoma" w:cs="Tahoma"/>
                <w:b/>
                <w:bCs/>
                <w:sz w:val="20"/>
                <w:szCs w:val="20"/>
              </w:rPr>
              <w:t>372.710,45</w:t>
            </w:r>
          </w:p>
        </w:tc>
        <w:tc>
          <w:tcPr>
            <w:tcW w:w="2096" w:type="dxa"/>
            <w:tcBorders>
              <w:top w:val="nil"/>
              <w:left w:val="nil"/>
              <w:bottom w:val="double" w:sz="6" w:space="0" w:color="auto"/>
              <w:right w:val="nil"/>
            </w:tcBorders>
            <w:shd w:val="clear" w:color="auto" w:fill="auto"/>
            <w:noWrap/>
            <w:vAlign w:val="bottom"/>
            <w:hideMark/>
          </w:tcPr>
          <w:p w:rsidR="000E35A7" w:rsidRDefault="000E35A7">
            <w:pPr>
              <w:jc w:val="right"/>
              <w:rPr>
                <w:rFonts w:ascii="Tahoma" w:hAnsi="Tahoma" w:cs="Tahoma"/>
                <w:b/>
                <w:bCs/>
                <w:sz w:val="20"/>
                <w:szCs w:val="20"/>
              </w:rPr>
            </w:pPr>
            <w:r>
              <w:rPr>
                <w:rFonts w:ascii="Tahoma" w:hAnsi="Tahoma" w:cs="Tahoma"/>
                <w:b/>
                <w:bCs/>
                <w:sz w:val="20"/>
                <w:szCs w:val="20"/>
              </w:rPr>
              <w:t>475.515,50</w:t>
            </w:r>
          </w:p>
        </w:tc>
      </w:tr>
      <w:tr w:rsidR="000E35A7" w:rsidTr="000E35A7">
        <w:trPr>
          <w:trHeight w:val="804"/>
        </w:trPr>
        <w:tc>
          <w:tcPr>
            <w:tcW w:w="3828" w:type="dxa"/>
            <w:tcBorders>
              <w:top w:val="nil"/>
              <w:left w:val="nil"/>
              <w:bottom w:val="nil"/>
              <w:right w:val="nil"/>
            </w:tcBorders>
            <w:shd w:val="clear" w:color="auto" w:fill="auto"/>
            <w:vAlign w:val="bottom"/>
            <w:hideMark/>
          </w:tcPr>
          <w:p w:rsidR="000E35A7" w:rsidRDefault="000E35A7">
            <w:pPr>
              <w:outlineLvl w:val="0"/>
              <w:rPr>
                <w:rFonts w:ascii="Tahoma" w:hAnsi="Tahoma" w:cs="Tahoma"/>
                <w:b/>
                <w:bCs/>
                <w:sz w:val="20"/>
                <w:szCs w:val="20"/>
              </w:rPr>
            </w:pPr>
            <w:r>
              <w:rPr>
                <w:rFonts w:ascii="Tahoma" w:hAnsi="Tahoma" w:cs="Tahoma"/>
                <w:b/>
                <w:bCs/>
                <w:sz w:val="20"/>
                <w:szCs w:val="20"/>
              </w:rPr>
              <w:t>Στοιχεία που δεν ενδέχεται να ταξινομηθούν στην κατάσταση αποτελεσμάτων μεταγενέστερα</w:t>
            </w:r>
          </w:p>
        </w:tc>
        <w:tc>
          <w:tcPr>
            <w:tcW w:w="676" w:type="dxa"/>
            <w:tcBorders>
              <w:top w:val="nil"/>
              <w:left w:val="nil"/>
              <w:bottom w:val="nil"/>
              <w:right w:val="nil"/>
            </w:tcBorders>
            <w:shd w:val="clear" w:color="auto" w:fill="auto"/>
            <w:noWrap/>
            <w:vAlign w:val="bottom"/>
            <w:hideMark/>
          </w:tcPr>
          <w:p w:rsidR="000E35A7" w:rsidRDefault="000E35A7">
            <w:pPr>
              <w:outlineLvl w:val="0"/>
              <w:rPr>
                <w:rFonts w:ascii="Tahoma" w:hAnsi="Tahoma" w:cs="Tahoma"/>
                <w:b/>
                <w:bCs/>
                <w:sz w:val="20"/>
                <w:szCs w:val="20"/>
              </w:rPr>
            </w:pPr>
          </w:p>
        </w:tc>
        <w:tc>
          <w:tcPr>
            <w:tcW w:w="2296" w:type="dxa"/>
            <w:tcBorders>
              <w:top w:val="nil"/>
              <w:left w:val="nil"/>
              <w:bottom w:val="nil"/>
              <w:right w:val="nil"/>
            </w:tcBorders>
            <w:shd w:val="clear" w:color="auto" w:fill="auto"/>
            <w:noWrap/>
            <w:vAlign w:val="bottom"/>
            <w:hideMark/>
          </w:tcPr>
          <w:p w:rsidR="000E35A7" w:rsidRDefault="000E35A7">
            <w:pPr>
              <w:outlineLvl w:val="0"/>
              <w:rPr>
                <w:sz w:val="20"/>
                <w:szCs w:val="20"/>
              </w:rPr>
            </w:pPr>
          </w:p>
        </w:tc>
        <w:tc>
          <w:tcPr>
            <w:tcW w:w="2096" w:type="dxa"/>
            <w:tcBorders>
              <w:top w:val="nil"/>
              <w:left w:val="nil"/>
              <w:bottom w:val="nil"/>
              <w:right w:val="nil"/>
            </w:tcBorders>
            <w:shd w:val="clear" w:color="auto" w:fill="auto"/>
            <w:noWrap/>
            <w:vAlign w:val="bottom"/>
            <w:hideMark/>
          </w:tcPr>
          <w:p w:rsidR="000E35A7" w:rsidRDefault="000E35A7">
            <w:pPr>
              <w:outlineLvl w:val="0"/>
              <w:rPr>
                <w:sz w:val="20"/>
                <w:szCs w:val="20"/>
              </w:rPr>
            </w:pPr>
          </w:p>
        </w:tc>
      </w:tr>
      <w:tr w:rsidR="000E35A7" w:rsidTr="000E35A7">
        <w:trPr>
          <w:trHeight w:val="360"/>
        </w:trPr>
        <w:tc>
          <w:tcPr>
            <w:tcW w:w="4500" w:type="dxa"/>
            <w:gridSpan w:val="2"/>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r>
              <w:rPr>
                <w:rFonts w:ascii="Tahoma" w:hAnsi="Tahoma" w:cs="Tahoma"/>
                <w:b/>
                <w:bCs/>
                <w:sz w:val="20"/>
                <w:szCs w:val="20"/>
              </w:rPr>
              <w:t>Λοιπά συνολικά έσοδα περιόδου μετά φόρων (Β)</w:t>
            </w:r>
          </w:p>
        </w:tc>
        <w:tc>
          <w:tcPr>
            <w:tcW w:w="2296" w:type="dxa"/>
            <w:tcBorders>
              <w:top w:val="nil"/>
              <w:left w:val="nil"/>
              <w:bottom w:val="single" w:sz="4" w:space="0" w:color="auto"/>
              <w:right w:val="nil"/>
            </w:tcBorders>
            <w:shd w:val="clear" w:color="auto" w:fill="auto"/>
            <w:noWrap/>
            <w:vAlign w:val="bottom"/>
            <w:hideMark/>
          </w:tcPr>
          <w:p w:rsidR="000E35A7" w:rsidRDefault="000E35A7">
            <w:pPr>
              <w:jc w:val="right"/>
              <w:rPr>
                <w:rFonts w:ascii="Tahoma" w:hAnsi="Tahoma" w:cs="Tahoma"/>
                <w:b/>
                <w:bCs/>
                <w:sz w:val="20"/>
                <w:szCs w:val="20"/>
              </w:rPr>
            </w:pPr>
            <w:r>
              <w:rPr>
                <w:rFonts w:ascii="Tahoma" w:hAnsi="Tahoma" w:cs="Tahoma"/>
                <w:b/>
                <w:bCs/>
                <w:sz w:val="20"/>
                <w:szCs w:val="20"/>
              </w:rPr>
              <w:t>0,00</w:t>
            </w:r>
          </w:p>
        </w:tc>
        <w:tc>
          <w:tcPr>
            <w:tcW w:w="2096" w:type="dxa"/>
            <w:tcBorders>
              <w:top w:val="nil"/>
              <w:left w:val="nil"/>
              <w:bottom w:val="single" w:sz="4" w:space="0" w:color="auto"/>
              <w:right w:val="nil"/>
            </w:tcBorders>
            <w:shd w:val="clear" w:color="auto" w:fill="auto"/>
            <w:noWrap/>
            <w:vAlign w:val="bottom"/>
            <w:hideMark/>
          </w:tcPr>
          <w:p w:rsidR="000E35A7" w:rsidRDefault="000E35A7">
            <w:pPr>
              <w:jc w:val="right"/>
              <w:rPr>
                <w:rFonts w:ascii="Tahoma" w:hAnsi="Tahoma" w:cs="Tahoma"/>
                <w:b/>
                <w:bCs/>
                <w:sz w:val="20"/>
                <w:szCs w:val="20"/>
              </w:rPr>
            </w:pPr>
            <w:r>
              <w:rPr>
                <w:rFonts w:ascii="Tahoma" w:hAnsi="Tahoma" w:cs="Tahoma"/>
                <w:b/>
                <w:bCs/>
                <w:sz w:val="20"/>
                <w:szCs w:val="20"/>
              </w:rPr>
              <w:t>0,00</w:t>
            </w:r>
          </w:p>
        </w:tc>
      </w:tr>
      <w:tr w:rsidR="000E35A7" w:rsidTr="000E35A7">
        <w:trPr>
          <w:trHeight w:val="360"/>
        </w:trPr>
        <w:tc>
          <w:tcPr>
            <w:tcW w:w="4500" w:type="dxa"/>
            <w:gridSpan w:val="2"/>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r>
              <w:rPr>
                <w:rFonts w:ascii="Tahoma" w:hAnsi="Tahoma" w:cs="Tahoma"/>
                <w:b/>
                <w:bCs/>
                <w:sz w:val="20"/>
                <w:szCs w:val="20"/>
              </w:rPr>
              <w:t>Συγκεντρωτικά συνολικά έσοδα περιόδου (Α+Β)</w:t>
            </w:r>
          </w:p>
        </w:tc>
        <w:tc>
          <w:tcPr>
            <w:tcW w:w="2296" w:type="dxa"/>
            <w:tcBorders>
              <w:top w:val="nil"/>
              <w:left w:val="nil"/>
              <w:bottom w:val="double" w:sz="6" w:space="0" w:color="auto"/>
              <w:right w:val="nil"/>
            </w:tcBorders>
            <w:shd w:val="clear" w:color="auto" w:fill="auto"/>
            <w:noWrap/>
            <w:vAlign w:val="bottom"/>
            <w:hideMark/>
          </w:tcPr>
          <w:p w:rsidR="000E35A7" w:rsidRDefault="000E35A7">
            <w:pPr>
              <w:jc w:val="right"/>
              <w:rPr>
                <w:rFonts w:ascii="Tahoma" w:hAnsi="Tahoma" w:cs="Tahoma"/>
                <w:b/>
                <w:bCs/>
                <w:sz w:val="20"/>
                <w:szCs w:val="20"/>
              </w:rPr>
            </w:pPr>
            <w:r>
              <w:rPr>
                <w:rFonts w:ascii="Tahoma" w:hAnsi="Tahoma" w:cs="Tahoma"/>
                <w:b/>
                <w:bCs/>
                <w:sz w:val="20"/>
                <w:szCs w:val="20"/>
              </w:rPr>
              <w:t>372.710,45</w:t>
            </w:r>
          </w:p>
        </w:tc>
        <w:tc>
          <w:tcPr>
            <w:tcW w:w="2096" w:type="dxa"/>
            <w:tcBorders>
              <w:top w:val="nil"/>
              <w:left w:val="nil"/>
              <w:bottom w:val="double" w:sz="6" w:space="0" w:color="auto"/>
              <w:right w:val="nil"/>
            </w:tcBorders>
            <w:shd w:val="clear" w:color="auto" w:fill="auto"/>
            <w:noWrap/>
            <w:vAlign w:val="bottom"/>
            <w:hideMark/>
          </w:tcPr>
          <w:p w:rsidR="000E35A7" w:rsidRDefault="000E35A7">
            <w:pPr>
              <w:rPr>
                <w:rFonts w:ascii="Tahoma" w:hAnsi="Tahoma" w:cs="Tahoma"/>
                <w:b/>
                <w:bCs/>
                <w:sz w:val="20"/>
                <w:szCs w:val="20"/>
              </w:rPr>
            </w:pPr>
            <w:r>
              <w:rPr>
                <w:rFonts w:ascii="Tahoma" w:hAnsi="Tahoma" w:cs="Tahoma"/>
                <w:b/>
                <w:bCs/>
                <w:sz w:val="20"/>
                <w:szCs w:val="20"/>
              </w:rPr>
              <w:t xml:space="preserve">            475.515,50 </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p>
        </w:tc>
        <w:tc>
          <w:tcPr>
            <w:tcW w:w="676" w:type="dxa"/>
            <w:tcBorders>
              <w:top w:val="nil"/>
              <w:left w:val="nil"/>
              <w:bottom w:val="nil"/>
              <w:right w:val="nil"/>
            </w:tcBorders>
            <w:shd w:val="clear" w:color="auto" w:fill="auto"/>
            <w:noWrap/>
            <w:vAlign w:val="bottom"/>
            <w:hideMark/>
          </w:tcPr>
          <w:p w:rsidR="000E35A7" w:rsidRDefault="000E35A7">
            <w:pPr>
              <w:rPr>
                <w:sz w:val="20"/>
                <w:szCs w:val="20"/>
              </w:rPr>
            </w:pPr>
          </w:p>
        </w:tc>
        <w:tc>
          <w:tcPr>
            <w:tcW w:w="2296" w:type="dxa"/>
            <w:tcBorders>
              <w:top w:val="nil"/>
              <w:left w:val="nil"/>
              <w:bottom w:val="nil"/>
              <w:right w:val="nil"/>
            </w:tcBorders>
            <w:shd w:val="clear" w:color="auto" w:fill="auto"/>
            <w:noWrap/>
            <w:vAlign w:val="bottom"/>
            <w:hideMark/>
          </w:tcPr>
          <w:p w:rsidR="000E35A7" w:rsidRDefault="000E35A7">
            <w:pPr>
              <w:rPr>
                <w:sz w:val="20"/>
                <w:szCs w:val="20"/>
              </w:rPr>
            </w:pPr>
          </w:p>
        </w:tc>
        <w:tc>
          <w:tcPr>
            <w:tcW w:w="2096" w:type="dxa"/>
            <w:tcBorders>
              <w:top w:val="nil"/>
              <w:left w:val="nil"/>
              <w:bottom w:val="nil"/>
              <w:right w:val="nil"/>
            </w:tcBorders>
            <w:shd w:val="clear" w:color="auto" w:fill="auto"/>
            <w:noWrap/>
            <w:vAlign w:val="bottom"/>
            <w:hideMark/>
          </w:tcPr>
          <w:p w:rsidR="000E35A7" w:rsidRDefault="000E35A7">
            <w:pPr>
              <w:rPr>
                <w:sz w:val="20"/>
                <w:szCs w:val="20"/>
              </w:rPr>
            </w:pP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sz w:val="20"/>
                <w:szCs w:val="20"/>
              </w:rPr>
            </w:pPr>
            <w:r>
              <w:rPr>
                <w:rFonts w:ascii="Tahoma" w:hAnsi="Tahoma" w:cs="Tahoma"/>
                <w:sz w:val="20"/>
                <w:szCs w:val="20"/>
              </w:rPr>
              <w:t>Βασικά κέρδη ανά μετοχή</w:t>
            </w:r>
          </w:p>
        </w:tc>
        <w:tc>
          <w:tcPr>
            <w:tcW w:w="676" w:type="dxa"/>
            <w:tcBorders>
              <w:top w:val="nil"/>
              <w:left w:val="nil"/>
              <w:bottom w:val="nil"/>
              <w:right w:val="nil"/>
            </w:tcBorders>
            <w:shd w:val="clear" w:color="auto" w:fill="auto"/>
            <w:noWrap/>
            <w:vAlign w:val="bottom"/>
            <w:hideMark/>
          </w:tcPr>
          <w:p w:rsidR="000E35A7" w:rsidRDefault="000E35A7">
            <w:pPr>
              <w:rPr>
                <w:rFonts w:ascii="Tahoma" w:hAnsi="Tahoma" w:cs="Tahoma"/>
                <w:sz w:val="20"/>
                <w:szCs w:val="20"/>
              </w:rPr>
            </w:pPr>
          </w:p>
        </w:tc>
        <w:tc>
          <w:tcPr>
            <w:tcW w:w="2296"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r>
              <w:rPr>
                <w:rFonts w:ascii="Tahoma" w:hAnsi="Tahoma" w:cs="Tahoma"/>
                <w:b/>
                <w:bCs/>
                <w:sz w:val="20"/>
                <w:szCs w:val="20"/>
              </w:rPr>
              <w:t xml:space="preserve">                       6,1100 </w:t>
            </w:r>
          </w:p>
        </w:tc>
        <w:tc>
          <w:tcPr>
            <w:tcW w:w="2096"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r>
              <w:rPr>
                <w:rFonts w:ascii="Tahoma" w:hAnsi="Tahoma" w:cs="Tahoma"/>
                <w:b/>
                <w:bCs/>
                <w:sz w:val="20"/>
                <w:szCs w:val="20"/>
              </w:rPr>
              <w:t xml:space="preserve">                    7,7953 </w:t>
            </w:r>
          </w:p>
        </w:tc>
      </w:tr>
      <w:tr w:rsidR="000E35A7" w:rsidTr="000E35A7">
        <w:trPr>
          <w:trHeight w:val="360"/>
        </w:trPr>
        <w:tc>
          <w:tcPr>
            <w:tcW w:w="3828"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p>
        </w:tc>
        <w:tc>
          <w:tcPr>
            <w:tcW w:w="676" w:type="dxa"/>
            <w:tcBorders>
              <w:top w:val="nil"/>
              <w:left w:val="nil"/>
              <w:bottom w:val="nil"/>
              <w:right w:val="nil"/>
            </w:tcBorders>
            <w:shd w:val="clear" w:color="auto" w:fill="auto"/>
            <w:noWrap/>
            <w:vAlign w:val="bottom"/>
            <w:hideMark/>
          </w:tcPr>
          <w:p w:rsidR="000E35A7" w:rsidRDefault="000E35A7">
            <w:pPr>
              <w:rPr>
                <w:sz w:val="20"/>
                <w:szCs w:val="20"/>
              </w:rPr>
            </w:pPr>
          </w:p>
        </w:tc>
        <w:tc>
          <w:tcPr>
            <w:tcW w:w="2296" w:type="dxa"/>
            <w:tcBorders>
              <w:top w:val="nil"/>
              <w:left w:val="nil"/>
              <w:bottom w:val="nil"/>
              <w:right w:val="nil"/>
            </w:tcBorders>
            <w:shd w:val="clear" w:color="auto" w:fill="auto"/>
            <w:noWrap/>
            <w:vAlign w:val="bottom"/>
            <w:hideMark/>
          </w:tcPr>
          <w:p w:rsidR="000E35A7" w:rsidRDefault="000E35A7">
            <w:pPr>
              <w:rPr>
                <w:sz w:val="20"/>
                <w:szCs w:val="20"/>
              </w:rPr>
            </w:pPr>
          </w:p>
        </w:tc>
        <w:tc>
          <w:tcPr>
            <w:tcW w:w="2096" w:type="dxa"/>
            <w:tcBorders>
              <w:top w:val="nil"/>
              <w:left w:val="nil"/>
              <w:bottom w:val="nil"/>
              <w:right w:val="nil"/>
            </w:tcBorders>
            <w:shd w:val="clear" w:color="auto" w:fill="auto"/>
            <w:noWrap/>
            <w:vAlign w:val="bottom"/>
            <w:hideMark/>
          </w:tcPr>
          <w:p w:rsidR="000E35A7" w:rsidRDefault="000E35A7">
            <w:pPr>
              <w:rPr>
                <w:sz w:val="20"/>
                <w:szCs w:val="20"/>
              </w:rPr>
            </w:pPr>
          </w:p>
        </w:tc>
      </w:tr>
      <w:tr w:rsidR="000E35A7" w:rsidTr="000E35A7">
        <w:trPr>
          <w:trHeight w:val="780"/>
        </w:trPr>
        <w:tc>
          <w:tcPr>
            <w:tcW w:w="3828" w:type="dxa"/>
            <w:tcBorders>
              <w:top w:val="nil"/>
              <w:left w:val="nil"/>
              <w:bottom w:val="nil"/>
              <w:right w:val="nil"/>
            </w:tcBorders>
            <w:shd w:val="clear" w:color="auto" w:fill="auto"/>
            <w:vAlign w:val="bottom"/>
            <w:hideMark/>
          </w:tcPr>
          <w:p w:rsidR="000E35A7" w:rsidRDefault="000E35A7">
            <w:pPr>
              <w:rPr>
                <w:rFonts w:ascii="Tahoma" w:hAnsi="Tahoma" w:cs="Tahoma"/>
                <w:b/>
                <w:bCs/>
                <w:sz w:val="20"/>
                <w:szCs w:val="20"/>
              </w:rPr>
            </w:pPr>
            <w:r>
              <w:rPr>
                <w:rFonts w:ascii="Tahoma" w:hAnsi="Tahoma" w:cs="Tahoma"/>
                <w:b/>
                <w:bCs/>
                <w:sz w:val="20"/>
                <w:szCs w:val="20"/>
              </w:rPr>
              <w:t>Αποτελέσματα - κέρδη προ φόρων χρηματοδοτικών και επενδυτικών αποτελεσμάτων και αποσβέσεων</w:t>
            </w:r>
          </w:p>
        </w:tc>
        <w:tc>
          <w:tcPr>
            <w:tcW w:w="676" w:type="dxa"/>
            <w:tcBorders>
              <w:top w:val="nil"/>
              <w:left w:val="nil"/>
              <w:bottom w:val="nil"/>
              <w:right w:val="nil"/>
            </w:tcBorders>
            <w:shd w:val="clear" w:color="auto" w:fill="auto"/>
            <w:noWrap/>
            <w:vAlign w:val="bottom"/>
            <w:hideMark/>
          </w:tcPr>
          <w:p w:rsidR="000E35A7" w:rsidRDefault="000E35A7">
            <w:pPr>
              <w:rPr>
                <w:rFonts w:ascii="Tahoma" w:hAnsi="Tahoma" w:cs="Tahoma"/>
                <w:b/>
                <w:bCs/>
                <w:sz w:val="20"/>
                <w:szCs w:val="20"/>
              </w:rPr>
            </w:pPr>
          </w:p>
        </w:tc>
        <w:tc>
          <w:tcPr>
            <w:tcW w:w="2296" w:type="dxa"/>
            <w:tcBorders>
              <w:top w:val="nil"/>
              <w:left w:val="nil"/>
              <w:bottom w:val="nil"/>
              <w:right w:val="nil"/>
            </w:tcBorders>
            <w:shd w:val="clear" w:color="auto" w:fill="auto"/>
            <w:noWrap/>
            <w:vAlign w:val="bottom"/>
            <w:hideMark/>
          </w:tcPr>
          <w:p w:rsidR="000E35A7" w:rsidRDefault="000D4813">
            <w:pPr>
              <w:jc w:val="right"/>
              <w:rPr>
                <w:rFonts w:ascii="Tahoma" w:hAnsi="Tahoma" w:cs="Tahoma"/>
                <w:sz w:val="20"/>
                <w:szCs w:val="20"/>
              </w:rPr>
            </w:pPr>
            <w:r>
              <w:rPr>
                <w:rFonts w:ascii="Tahoma" w:hAnsi="Tahoma" w:cs="Tahoma"/>
                <w:sz w:val="20"/>
                <w:szCs w:val="20"/>
              </w:rPr>
              <w:t>832.818,49</w:t>
            </w:r>
          </w:p>
        </w:tc>
        <w:tc>
          <w:tcPr>
            <w:tcW w:w="2096" w:type="dxa"/>
            <w:tcBorders>
              <w:top w:val="nil"/>
              <w:left w:val="nil"/>
              <w:bottom w:val="nil"/>
              <w:right w:val="nil"/>
            </w:tcBorders>
            <w:shd w:val="clear" w:color="auto" w:fill="auto"/>
            <w:noWrap/>
            <w:vAlign w:val="bottom"/>
            <w:hideMark/>
          </w:tcPr>
          <w:p w:rsidR="000E35A7" w:rsidRDefault="000E35A7">
            <w:pPr>
              <w:jc w:val="right"/>
              <w:rPr>
                <w:rFonts w:ascii="Tahoma" w:hAnsi="Tahoma" w:cs="Tahoma"/>
                <w:sz w:val="20"/>
                <w:szCs w:val="20"/>
              </w:rPr>
            </w:pPr>
            <w:r>
              <w:rPr>
                <w:rFonts w:ascii="Tahoma" w:hAnsi="Tahoma" w:cs="Tahoma"/>
                <w:sz w:val="20"/>
                <w:szCs w:val="20"/>
              </w:rPr>
              <w:t>931.341,15</w:t>
            </w:r>
          </w:p>
        </w:tc>
      </w:tr>
    </w:tbl>
    <w:p w:rsidR="000E35A7" w:rsidRDefault="000E35A7" w:rsidP="008A7FED">
      <w:pPr>
        <w:rPr>
          <w:rFonts w:ascii="Tahoma" w:hAnsi="Tahoma" w:cs="Tahoma"/>
          <w:sz w:val="22"/>
          <w:szCs w:val="22"/>
          <w:lang w:val="en-US"/>
        </w:rPr>
      </w:pPr>
    </w:p>
    <w:p w:rsidR="000E35A7" w:rsidRDefault="000E35A7" w:rsidP="008A7FED">
      <w:pPr>
        <w:rPr>
          <w:rFonts w:ascii="Tahoma" w:hAnsi="Tahoma" w:cs="Tahoma"/>
          <w:sz w:val="22"/>
          <w:szCs w:val="22"/>
          <w:lang w:val="en-US"/>
        </w:rPr>
      </w:pPr>
    </w:p>
    <w:p w:rsidR="000E35A7" w:rsidRDefault="000E35A7" w:rsidP="008A7FED">
      <w:pPr>
        <w:rPr>
          <w:rFonts w:ascii="Tahoma" w:hAnsi="Tahoma" w:cs="Tahoma"/>
          <w:sz w:val="22"/>
          <w:szCs w:val="22"/>
          <w:lang w:val="en-US"/>
        </w:rPr>
      </w:pPr>
    </w:p>
    <w:p w:rsidR="000E35A7" w:rsidRPr="00485A4C" w:rsidRDefault="000E35A7" w:rsidP="008A7FED">
      <w:pPr>
        <w:rPr>
          <w:rFonts w:ascii="Tahoma" w:hAnsi="Tahoma" w:cs="Tahoma"/>
          <w:sz w:val="22"/>
          <w:szCs w:val="22"/>
          <w:highlight w:val="red"/>
        </w:rPr>
      </w:pPr>
    </w:p>
    <w:p w:rsidR="00D20605" w:rsidRPr="00485A4C" w:rsidRDefault="00D20605" w:rsidP="00164C4D">
      <w:pPr>
        <w:ind w:left="-567"/>
        <w:rPr>
          <w:rFonts w:ascii="Tahoma" w:hAnsi="Tahoma" w:cs="Tahoma"/>
          <w:sz w:val="22"/>
          <w:szCs w:val="22"/>
          <w:highlight w:val="red"/>
        </w:rPr>
      </w:pPr>
    </w:p>
    <w:p w:rsidR="00D20605" w:rsidRPr="00485A4C" w:rsidRDefault="00D20605" w:rsidP="00164C4D">
      <w:pPr>
        <w:ind w:left="-567"/>
        <w:rPr>
          <w:rFonts w:ascii="Tahoma" w:hAnsi="Tahoma" w:cs="Tahoma"/>
          <w:sz w:val="22"/>
          <w:szCs w:val="22"/>
          <w:highlight w:val="red"/>
        </w:rPr>
      </w:pPr>
    </w:p>
    <w:p w:rsidR="00D20605" w:rsidRPr="00485A4C" w:rsidRDefault="00AA45D6" w:rsidP="00D20605">
      <w:pPr>
        <w:tabs>
          <w:tab w:val="left" w:pos="-851"/>
        </w:tabs>
        <w:spacing w:line="360" w:lineRule="auto"/>
        <w:ind w:right="-138"/>
        <w:jc w:val="center"/>
        <w:rPr>
          <w:rFonts w:ascii="Tahoma" w:hAnsi="Tahoma" w:cs="Tahoma"/>
        </w:rPr>
      </w:pPr>
      <w:r w:rsidRPr="00485A4C">
        <w:rPr>
          <w:rFonts w:ascii="Tahoma" w:hAnsi="Tahoma" w:cs="Tahoma"/>
          <w:sz w:val="22"/>
          <w:szCs w:val="22"/>
        </w:rPr>
        <w:t>(Οι σημειώσεις στις σελίδες  1</w:t>
      </w:r>
      <w:r w:rsidR="0025494D" w:rsidRPr="00485A4C">
        <w:rPr>
          <w:rFonts w:ascii="Tahoma" w:hAnsi="Tahoma" w:cs="Tahoma"/>
          <w:sz w:val="22"/>
          <w:szCs w:val="22"/>
          <w:lang w:val="en-US"/>
        </w:rPr>
        <w:t>0</w:t>
      </w:r>
      <w:r w:rsidR="00D20605" w:rsidRPr="00485A4C">
        <w:rPr>
          <w:rFonts w:ascii="Tahoma" w:hAnsi="Tahoma" w:cs="Tahoma"/>
          <w:sz w:val="22"/>
          <w:szCs w:val="22"/>
        </w:rPr>
        <w:t xml:space="preserve"> - </w:t>
      </w:r>
      <w:r w:rsidR="00D94651">
        <w:rPr>
          <w:rFonts w:ascii="Tahoma" w:hAnsi="Tahoma" w:cs="Tahoma"/>
          <w:sz w:val="22"/>
          <w:szCs w:val="22"/>
          <w:lang w:val="en-US"/>
        </w:rPr>
        <w:t>53</w:t>
      </w:r>
      <w:r w:rsidR="00D20605" w:rsidRPr="00485A4C">
        <w:rPr>
          <w:rFonts w:ascii="Tahoma" w:hAnsi="Tahoma" w:cs="Tahoma"/>
          <w:sz w:val="22"/>
          <w:szCs w:val="22"/>
        </w:rPr>
        <w:t xml:space="preserve"> αποτελούν αναπόσπαστο μέρος των οικονομικών καταστάσεων)</w:t>
      </w:r>
    </w:p>
    <w:p w:rsidR="00D20605" w:rsidRPr="00485A4C" w:rsidRDefault="00D20605" w:rsidP="00164C4D">
      <w:pPr>
        <w:ind w:left="-567"/>
        <w:rPr>
          <w:rFonts w:ascii="Tahoma" w:hAnsi="Tahoma" w:cs="Tahoma"/>
          <w:highlight w:val="yellow"/>
        </w:rPr>
        <w:sectPr w:rsidR="00D20605" w:rsidRPr="00485A4C" w:rsidSect="00973E06">
          <w:headerReference w:type="default" r:id="rId9"/>
          <w:footerReference w:type="even" r:id="rId10"/>
          <w:footerReference w:type="default" r:id="rId11"/>
          <w:footerReference w:type="first" r:id="rId12"/>
          <w:pgSz w:w="11906" w:h="16838"/>
          <w:pgMar w:top="1135" w:right="1286" w:bottom="1135" w:left="1797" w:header="426" w:footer="709" w:gutter="0"/>
          <w:cols w:space="708"/>
          <w:titlePg/>
          <w:docGrid w:linePitch="360"/>
        </w:sectPr>
      </w:pPr>
    </w:p>
    <w:p w:rsidR="009246E4" w:rsidRPr="00485A4C" w:rsidRDefault="009246E4" w:rsidP="004A4C37">
      <w:pPr>
        <w:pStyle w:val="Heading2"/>
        <w:ind w:left="-540"/>
        <w:rPr>
          <w:rFonts w:ascii="Tahoma" w:hAnsi="Tahoma" w:cs="Tahoma"/>
          <w:sz w:val="22"/>
          <w:szCs w:val="22"/>
        </w:rPr>
      </w:pPr>
      <w:bookmarkStart w:id="10" w:name="_Toc147309335"/>
      <w:bookmarkStart w:id="11" w:name="_Toc526260596"/>
      <w:r w:rsidRPr="00485A4C">
        <w:rPr>
          <w:rFonts w:ascii="Tahoma" w:hAnsi="Tahoma" w:cs="Tahoma"/>
          <w:sz w:val="22"/>
          <w:szCs w:val="22"/>
        </w:rPr>
        <w:lastRenderedPageBreak/>
        <w:t>Κατάσταση Μεταβολών Ιδίων Κεφαλαίων</w:t>
      </w:r>
      <w:bookmarkEnd w:id="10"/>
      <w:r w:rsidR="004A4C37" w:rsidRPr="00485A4C">
        <w:rPr>
          <w:rFonts w:ascii="Tahoma" w:hAnsi="Tahoma" w:cs="Tahoma"/>
          <w:sz w:val="22"/>
          <w:szCs w:val="22"/>
        </w:rPr>
        <w:t xml:space="preserve"> </w:t>
      </w:r>
      <w:r w:rsidRPr="00485A4C">
        <w:rPr>
          <w:rFonts w:ascii="Tahoma" w:hAnsi="Tahoma" w:cs="Tahoma"/>
          <w:b w:val="0"/>
          <w:sz w:val="22"/>
          <w:szCs w:val="22"/>
        </w:rPr>
        <w:t xml:space="preserve">(ποσά σε </w:t>
      </w:r>
      <w:r w:rsidR="004A4C37" w:rsidRPr="00485A4C">
        <w:rPr>
          <w:rFonts w:ascii="Tahoma" w:hAnsi="Tahoma" w:cs="Tahoma"/>
          <w:b w:val="0"/>
          <w:sz w:val="22"/>
          <w:szCs w:val="22"/>
        </w:rPr>
        <w:t>€</w:t>
      </w:r>
      <w:r w:rsidRPr="00485A4C">
        <w:rPr>
          <w:rFonts w:ascii="Tahoma" w:hAnsi="Tahoma" w:cs="Tahoma"/>
          <w:b w:val="0"/>
          <w:sz w:val="22"/>
          <w:szCs w:val="22"/>
        </w:rPr>
        <w:t>)</w:t>
      </w:r>
      <w:bookmarkEnd w:id="11"/>
    </w:p>
    <w:p w:rsidR="000103DE" w:rsidRPr="00485A4C" w:rsidRDefault="000103DE" w:rsidP="009246E4">
      <w:pPr>
        <w:ind w:left="-540"/>
        <w:jc w:val="both"/>
        <w:rPr>
          <w:rFonts w:ascii="Tahoma" w:hAnsi="Tahoma" w:cs="Tahoma"/>
          <w:sz w:val="22"/>
          <w:szCs w:val="22"/>
          <w:highlight w:val="red"/>
        </w:rPr>
      </w:pPr>
    </w:p>
    <w:p w:rsidR="009246E4" w:rsidRPr="00485A4C" w:rsidRDefault="009246E4" w:rsidP="009246E4">
      <w:pPr>
        <w:ind w:left="-540"/>
        <w:jc w:val="both"/>
        <w:rPr>
          <w:rFonts w:ascii="Tahoma" w:hAnsi="Tahoma" w:cs="Tahoma"/>
          <w:sz w:val="22"/>
          <w:szCs w:val="22"/>
          <w:highlight w:val="red"/>
        </w:rPr>
      </w:pPr>
    </w:p>
    <w:p w:rsidR="00EF49F2" w:rsidRDefault="00EF49F2" w:rsidP="00EA5CD8">
      <w:pPr>
        <w:ind w:left="-1134"/>
        <w:jc w:val="both"/>
        <w:rPr>
          <w:rFonts w:ascii="Tahoma" w:hAnsi="Tahoma" w:cs="Tahoma"/>
          <w:sz w:val="22"/>
          <w:szCs w:val="22"/>
          <w:lang w:val="en-US"/>
        </w:rPr>
      </w:pPr>
    </w:p>
    <w:p w:rsidR="000D4813" w:rsidRDefault="000D4813" w:rsidP="00EA5CD8">
      <w:pPr>
        <w:ind w:left="-1134"/>
        <w:jc w:val="both"/>
        <w:rPr>
          <w:rFonts w:ascii="Tahoma" w:hAnsi="Tahoma" w:cs="Tahoma"/>
          <w:sz w:val="22"/>
          <w:szCs w:val="22"/>
          <w:lang w:val="en-US"/>
        </w:rPr>
      </w:pPr>
    </w:p>
    <w:tbl>
      <w:tblPr>
        <w:tblW w:w="10635" w:type="dxa"/>
        <w:tblInd w:w="-1985" w:type="dxa"/>
        <w:tblLayout w:type="fixed"/>
        <w:tblLook w:val="04A0" w:firstRow="1" w:lastRow="0" w:firstColumn="1" w:lastColumn="0" w:noHBand="0" w:noVBand="1"/>
      </w:tblPr>
      <w:tblGrid>
        <w:gridCol w:w="3545"/>
        <w:gridCol w:w="598"/>
        <w:gridCol w:w="1266"/>
        <w:gridCol w:w="1318"/>
        <w:gridCol w:w="1329"/>
        <w:gridCol w:w="1303"/>
        <w:gridCol w:w="1276"/>
      </w:tblGrid>
      <w:tr w:rsidR="000D4813" w:rsidTr="000D4813">
        <w:trPr>
          <w:trHeight w:val="264"/>
        </w:trPr>
        <w:tc>
          <w:tcPr>
            <w:tcW w:w="3545" w:type="dxa"/>
            <w:tcBorders>
              <w:top w:val="nil"/>
              <w:left w:val="nil"/>
              <w:bottom w:val="nil"/>
              <w:right w:val="nil"/>
            </w:tcBorders>
            <w:shd w:val="clear" w:color="auto" w:fill="auto"/>
            <w:noWrap/>
            <w:vAlign w:val="bottom"/>
            <w:hideMark/>
          </w:tcPr>
          <w:p w:rsidR="000D4813" w:rsidRDefault="000D4813">
            <w:pPr>
              <w:rPr>
                <w:b/>
                <w:bCs/>
                <w:sz w:val="20"/>
                <w:szCs w:val="20"/>
              </w:rPr>
            </w:pPr>
            <w:r>
              <w:rPr>
                <w:b/>
                <w:bCs/>
                <w:sz w:val="20"/>
                <w:szCs w:val="20"/>
              </w:rPr>
              <w:t>Κατάσταση μεταβολών ιδίων Κεφαλαίων</w:t>
            </w:r>
          </w:p>
        </w:tc>
        <w:tc>
          <w:tcPr>
            <w:tcW w:w="596" w:type="dxa"/>
            <w:tcBorders>
              <w:top w:val="nil"/>
              <w:left w:val="nil"/>
              <w:bottom w:val="nil"/>
              <w:right w:val="nil"/>
            </w:tcBorders>
            <w:shd w:val="clear" w:color="auto" w:fill="auto"/>
            <w:noWrap/>
            <w:vAlign w:val="bottom"/>
            <w:hideMark/>
          </w:tcPr>
          <w:p w:rsidR="000D4813" w:rsidRDefault="000D4813">
            <w:pPr>
              <w:rPr>
                <w:b/>
                <w:bCs/>
                <w:sz w:val="20"/>
                <w:szCs w:val="20"/>
              </w:rPr>
            </w:pPr>
          </w:p>
        </w:tc>
        <w:tc>
          <w:tcPr>
            <w:tcW w:w="1266" w:type="dxa"/>
            <w:tcBorders>
              <w:top w:val="nil"/>
              <w:left w:val="nil"/>
              <w:bottom w:val="nil"/>
              <w:right w:val="nil"/>
            </w:tcBorders>
            <w:shd w:val="clear" w:color="auto" w:fill="auto"/>
            <w:noWrap/>
            <w:vAlign w:val="bottom"/>
            <w:hideMark/>
          </w:tcPr>
          <w:p w:rsidR="000D4813" w:rsidRDefault="000D4813">
            <w:pPr>
              <w:jc w:val="center"/>
              <w:rPr>
                <w:sz w:val="20"/>
                <w:szCs w:val="20"/>
              </w:rPr>
            </w:pPr>
          </w:p>
        </w:tc>
        <w:tc>
          <w:tcPr>
            <w:tcW w:w="1318" w:type="dxa"/>
            <w:tcBorders>
              <w:top w:val="nil"/>
              <w:left w:val="nil"/>
              <w:bottom w:val="nil"/>
              <w:right w:val="nil"/>
            </w:tcBorders>
            <w:shd w:val="clear" w:color="auto" w:fill="auto"/>
            <w:noWrap/>
            <w:vAlign w:val="bottom"/>
            <w:hideMark/>
          </w:tcPr>
          <w:p w:rsidR="000D4813" w:rsidRDefault="000D4813">
            <w:pPr>
              <w:jc w:val="center"/>
              <w:rPr>
                <w:sz w:val="20"/>
                <w:szCs w:val="20"/>
              </w:rPr>
            </w:pPr>
          </w:p>
        </w:tc>
        <w:tc>
          <w:tcPr>
            <w:tcW w:w="1329" w:type="dxa"/>
            <w:tcBorders>
              <w:top w:val="nil"/>
              <w:left w:val="nil"/>
              <w:bottom w:val="nil"/>
              <w:right w:val="nil"/>
            </w:tcBorders>
            <w:shd w:val="clear" w:color="auto" w:fill="auto"/>
            <w:noWrap/>
            <w:vAlign w:val="bottom"/>
            <w:hideMark/>
          </w:tcPr>
          <w:p w:rsidR="000D4813" w:rsidRDefault="000D4813">
            <w:pPr>
              <w:jc w:val="center"/>
              <w:rPr>
                <w:sz w:val="20"/>
                <w:szCs w:val="20"/>
              </w:rPr>
            </w:pPr>
          </w:p>
        </w:tc>
        <w:tc>
          <w:tcPr>
            <w:tcW w:w="1303" w:type="dxa"/>
            <w:tcBorders>
              <w:top w:val="nil"/>
              <w:left w:val="nil"/>
              <w:bottom w:val="nil"/>
              <w:right w:val="nil"/>
            </w:tcBorders>
            <w:shd w:val="clear" w:color="auto" w:fill="auto"/>
            <w:noWrap/>
            <w:vAlign w:val="bottom"/>
            <w:hideMark/>
          </w:tcPr>
          <w:p w:rsidR="000D4813" w:rsidRDefault="000D4813">
            <w:pPr>
              <w:jc w:val="center"/>
              <w:rPr>
                <w:sz w:val="20"/>
                <w:szCs w:val="20"/>
              </w:rPr>
            </w:pPr>
          </w:p>
        </w:tc>
        <w:tc>
          <w:tcPr>
            <w:tcW w:w="1276" w:type="dxa"/>
            <w:tcBorders>
              <w:top w:val="nil"/>
              <w:left w:val="nil"/>
              <w:bottom w:val="nil"/>
              <w:right w:val="nil"/>
            </w:tcBorders>
            <w:shd w:val="clear" w:color="auto" w:fill="auto"/>
            <w:noWrap/>
            <w:vAlign w:val="bottom"/>
            <w:hideMark/>
          </w:tcPr>
          <w:p w:rsidR="000D4813" w:rsidRDefault="000D4813">
            <w:pPr>
              <w:jc w:val="center"/>
              <w:rPr>
                <w:sz w:val="20"/>
                <w:szCs w:val="20"/>
              </w:rPr>
            </w:pPr>
          </w:p>
        </w:tc>
      </w:tr>
      <w:tr w:rsidR="000D4813" w:rsidTr="000D4813">
        <w:trPr>
          <w:trHeight w:val="264"/>
        </w:trPr>
        <w:tc>
          <w:tcPr>
            <w:tcW w:w="3545" w:type="dxa"/>
            <w:tcBorders>
              <w:top w:val="nil"/>
              <w:left w:val="nil"/>
              <w:bottom w:val="nil"/>
              <w:right w:val="nil"/>
            </w:tcBorders>
            <w:shd w:val="clear" w:color="000000" w:fill="D9D9D9"/>
            <w:noWrap/>
            <w:vAlign w:val="bottom"/>
            <w:hideMark/>
          </w:tcPr>
          <w:p w:rsidR="000D4813" w:rsidRDefault="000D4813">
            <w:pPr>
              <w:outlineLvl w:val="0"/>
              <w:rPr>
                <w:b/>
                <w:bCs/>
                <w:sz w:val="20"/>
                <w:szCs w:val="20"/>
              </w:rPr>
            </w:pPr>
            <w:r>
              <w:rPr>
                <w:b/>
                <w:bCs/>
                <w:sz w:val="20"/>
                <w:szCs w:val="20"/>
              </w:rPr>
              <w:t> </w:t>
            </w:r>
          </w:p>
        </w:tc>
        <w:tc>
          <w:tcPr>
            <w:tcW w:w="596" w:type="dxa"/>
            <w:tcBorders>
              <w:top w:val="nil"/>
              <w:left w:val="nil"/>
              <w:bottom w:val="nil"/>
              <w:right w:val="nil"/>
            </w:tcBorders>
            <w:shd w:val="clear" w:color="000000" w:fill="D9D9D9"/>
            <w:noWrap/>
            <w:vAlign w:val="bottom"/>
            <w:hideMark/>
          </w:tcPr>
          <w:p w:rsidR="000D4813" w:rsidRDefault="000D4813">
            <w:pPr>
              <w:outlineLvl w:val="0"/>
              <w:rPr>
                <w:b/>
                <w:bCs/>
                <w:sz w:val="20"/>
                <w:szCs w:val="20"/>
              </w:rPr>
            </w:pPr>
            <w:r>
              <w:rPr>
                <w:b/>
                <w:bCs/>
                <w:sz w:val="20"/>
                <w:szCs w:val="20"/>
              </w:rPr>
              <w:t> </w:t>
            </w:r>
          </w:p>
        </w:tc>
        <w:tc>
          <w:tcPr>
            <w:tcW w:w="1266" w:type="dxa"/>
            <w:tcBorders>
              <w:top w:val="nil"/>
              <w:left w:val="nil"/>
              <w:bottom w:val="nil"/>
              <w:right w:val="nil"/>
            </w:tcBorders>
            <w:shd w:val="clear" w:color="000000" w:fill="D9D9D9"/>
            <w:noWrap/>
            <w:vAlign w:val="bottom"/>
            <w:hideMark/>
          </w:tcPr>
          <w:p w:rsidR="000D4813" w:rsidRDefault="000D4813">
            <w:pPr>
              <w:outlineLvl w:val="0"/>
              <w:rPr>
                <w:sz w:val="20"/>
                <w:szCs w:val="20"/>
              </w:rPr>
            </w:pPr>
            <w:r>
              <w:rPr>
                <w:sz w:val="20"/>
                <w:szCs w:val="20"/>
              </w:rPr>
              <w:t> </w:t>
            </w:r>
          </w:p>
        </w:tc>
        <w:tc>
          <w:tcPr>
            <w:tcW w:w="1318" w:type="dxa"/>
            <w:tcBorders>
              <w:top w:val="nil"/>
              <w:left w:val="nil"/>
              <w:bottom w:val="nil"/>
              <w:right w:val="nil"/>
            </w:tcBorders>
            <w:shd w:val="clear" w:color="000000" w:fill="D9D9D9"/>
            <w:noWrap/>
            <w:vAlign w:val="bottom"/>
            <w:hideMark/>
          </w:tcPr>
          <w:p w:rsidR="000D4813" w:rsidRDefault="000D4813">
            <w:pPr>
              <w:outlineLvl w:val="0"/>
              <w:rPr>
                <w:sz w:val="20"/>
                <w:szCs w:val="20"/>
              </w:rPr>
            </w:pPr>
            <w:r>
              <w:rPr>
                <w:sz w:val="20"/>
                <w:szCs w:val="20"/>
              </w:rPr>
              <w:t> </w:t>
            </w:r>
          </w:p>
        </w:tc>
        <w:tc>
          <w:tcPr>
            <w:tcW w:w="1329" w:type="dxa"/>
            <w:tcBorders>
              <w:top w:val="nil"/>
              <w:left w:val="nil"/>
              <w:bottom w:val="nil"/>
              <w:right w:val="nil"/>
            </w:tcBorders>
            <w:shd w:val="clear" w:color="000000" w:fill="D9D9D9"/>
            <w:noWrap/>
            <w:vAlign w:val="bottom"/>
            <w:hideMark/>
          </w:tcPr>
          <w:p w:rsidR="000D4813" w:rsidRDefault="000D4813">
            <w:pPr>
              <w:outlineLvl w:val="0"/>
              <w:rPr>
                <w:sz w:val="20"/>
                <w:szCs w:val="20"/>
              </w:rPr>
            </w:pPr>
            <w:r>
              <w:rPr>
                <w:sz w:val="20"/>
                <w:szCs w:val="20"/>
              </w:rPr>
              <w:t> </w:t>
            </w:r>
          </w:p>
        </w:tc>
        <w:tc>
          <w:tcPr>
            <w:tcW w:w="1303" w:type="dxa"/>
            <w:tcBorders>
              <w:top w:val="nil"/>
              <w:left w:val="nil"/>
              <w:bottom w:val="nil"/>
              <w:right w:val="nil"/>
            </w:tcBorders>
            <w:shd w:val="clear" w:color="000000" w:fill="D9D9D9"/>
            <w:noWrap/>
            <w:vAlign w:val="bottom"/>
            <w:hideMark/>
          </w:tcPr>
          <w:p w:rsidR="000D4813" w:rsidRDefault="000D4813">
            <w:pPr>
              <w:outlineLvl w:val="0"/>
              <w:rPr>
                <w:sz w:val="20"/>
                <w:szCs w:val="20"/>
              </w:rPr>
            </w:pPr>
            <w:r>
              <w:rPr>
                <w:sz w:val="20"/>
                <w:szCs w:val="20"/>
              </w:rPr>
              <w:t> </w:t>
            </w:r>
          </w:p>
        </w:tc>
        <w:tc>
          <w:tcPr>
            <w:tcW w:w="1276" w:type="dxa"/>
            <w:tcBorders>
              <w:top w:val="nil"/>
              <w:left w:val="nil"/>
              <w:bottom w:val="nil"/>
              <w:right w:val="nil"/>
            </w:tcBorders>
            <w:shd w:val="clear" w:color="000000" w:fill="D9D9D9"/>
            <w:noWrap/>
            <w:vAlign w:val="bottom"/>
            <w:hideMark/>
          </w:tcPr>
          <w:p w:rsidR="000D4813" w:rsidRDefault="000D4813">
            <w:pPr>
              <w:outlineLvl w:val="0"/>
              <w:rPr>
                <w:sz w:val="20"/>
                <w:szCs w:val="20"/>
              </w:rPr>
            </w:pPr>
            <w:r>
              <w:rPr>
                <w:sz w:val="20"/>
                <w:szCs w:val="20"/>
              </w:rPr>
              <w:t> </w:t>
            </w:r>
          </w:p>
        </w:tc>
      </w:tr>
      <w:tr w:rsidR="000D4813" w:rsidTr="000D4813">
        <w:trPr>
          <w:trHeight w:val="510"/>
        </w:trPr>
        <w:tc>
          <w:tcPr>
            <w:tcW w:w="3545" w:type="dxa"/>
            <w:tcBorders>
              <w:top w:val="nil"/>
              <w:left w:val="nil"/>
              <w:bottom w:val="nil"/>
              <w:right w:val="nil"/>
            </w:tcBorders>
            <w:shd w:val="clear" w:color="000000" w:fill="D9D9D9"/>
            <w:vAlign w:val="bottom"/>
            <w:hideMark/>
          </w:tcPr>
          <w:p w:rsidR="000D4813" w:rsidRDefault="000D4813">
            <w:pPr>
              <w:outlineLvl w:val="0"/>
              <w:rPr>
                <w:b/>
                <w:bCs/>
                <w:sz w:val="20"/>
                <w:szCs w:val="20"/>
              </w:rPr>
            </w:pPr>
            <w:r>
              <w:rPr>
                <w:b/>
                <w:bCs/>
                <w:sz w:val="20"/>
                <w:szCs w:val="20"/>
              </w:rPr>
              <w:t> </w:t>
            </w:r>
          </w:p>
        </w:tc>
        <w:tc>
          <w:tcPr>
            <w:tcW w:w="596" w:type="dxa"/>
            <w:tcBorders>
              <w:top w:val="nil"/>
              <w:left w:val="nil"/>
              <w:bottom w:val="nil"/>
              <w:right w:val="nil"/>
            </w:tcBorders>
            <w:shd w:val="clear" w:color="000000" w:fill="D9D9D9"/>
            <w:vAlign w:val="bottom"/>
            <w:hideMark/>
          </w:tcPr>
          <w:p w:rsidR="000D4813" w:rsidRDefault="000D4813">
            <w:pPr>
              <w:outlineLvl w:val="0"/>
              <w:rPr>
                <w:b/>
                <w:bCs/>
                <w:sz w:val="20"/>
                <w:szCs w:val="20"/>
              </w:rPr>
            </w:pPr>
            <w:r>
              <w:rPr>
                <w:b/>
                <w:bCs/>
                <w:sz w:val="20"/>
                <w:szCs w:val="20"/>
              </w:rPr>
              <w:t> </w:t>
            </w:r>
          </w:p>
        </w:tc>
        <w:tc>
          <w:tcPr>
            <w:tcW w:w="1266" w:type="dxa"/>
            <w:tcBorders>
              <w:top w:val="nil"/>
              <w:left w:val="nil"/>
              <w:bottom w:val="nil"/>
              <w:right w:val="nil"/>
            </w:tcBorders>
            <w:shd w:val="clear" w:color="000000" w:fill="D9D9D9"/>
            <w:vAlign w:val="bottom"/>
            <w:hideMark/>
          </w:tcPr>
          <w:p w:rsidR="000D4813" w:rsidRDefault="000D4813">
            <w:pPr>
              <w:jc w:val="center"/>
              <w:outlineLvl w:val="0"/>
              <w:rPr>
                <w:b/>
                <w:bCs/>
                <w:sz w:val="20"/>
                <w:szCs w:val="20"/>
              </w:rPr>
            </w:pPr>
            <w:r>
              <w:rPr>
                <w:b/>
                <w:bCs/>
                <w:sz w:val="20"/>
                <w:szCs w:val="20"/>
              </w:rPr>
              <w:t>Μετοχικό Κεφάλαιο</w:t>
            </w:r>
          </w:p>
        </w:tc>
        <w:tc>
          <w:tcPr>
            <w:tcW w:w="1318" w:type="dxa"/>
            <w:tcBorders>
              <w:top w:val="nil"/>
              <w:left w:val="nil"/>
              <w:bottom w:val="nil"/>
              <w:right w:val="nil"/>
            </w:tcBorders>
            <w:shd w:val="clear" w:color="000000" w:fill="D9D9D9"/>
            <w:vAlign w:val="bottom"/>
            <w:hideMark/>
          </w:tcPr>
          <w:p w:rsidR="000D4813" w:rsidRDefault="000D4813">
            <w:pPr>
              <w:jc w:val="center"/>
              <w:outlineLvl w:val="0"/>
              <w:rPr>
                <w:b/>
                <w:bCs/>
                <w:sz w:val="20"/>
                <w:szCs w:val="20"/>
              </w:rPr>
            </w:pPr>
            <w:r>
              <w:rPr>
                <w:b/>
                <w:bCs/>
                <w:sz w:val="20"/>
                <w:szCs w:val="20"/>
              </w:rPr>
              <w:t>Τακτικό αποθεματικό</w:t>
            </w:r>
          </w:p>
        </w:tc>
        <w:tc>
          <w:tcPr>
            <w:tcW w:w="1329" w:type="dxa"/>
            <w:tcBorders>
              <w:top w:val="nil"/>
              <w:left w:val="nil"/>
              <w:bottom w:val="nil"/>
              <w:right w:val="nil"/>
            </w:tcBorders>
            <w:shd w:val="clear" w:color="000000" w:fill="D9D9D9"/>
            <w:vAlign w:val="bottom"/>
            <w:hideMark/>
          </w:tcPr>
          <w:p w:rsidR="000D4813" w:rsidRDefault="000D4813">
            <w:pPr>
              <w:jc w:val="center"/>
              <w:outlineLvl w:val="0"/>
              <w:rPr>
                <w:b/>
                <w:bCs/>
                <w:sz w:val="20"/>
                <w:szCs w:val="20"/>
              </w:rPr>
            </w:pPr>
            <w:r>
              <w:rPr>
                <w:b/>
                <w:bCs/>
                <w:sz w:val="20"/>
                <w:szCs w:val="20"/>
              </w:rPr>
              <w:t>Λοιπά αποθεματικά</w:t>
            </w:r>
          </w:p>
        </w:tc>
        <w:tc>
          <w:tcPr>
            <w:tcW w:w="1303" w:type="dxa"/>
            <w:tcBorders>
              <w:top w:val="nil"/>
              <w:left w:val="nil"/>
              <w:bottom w:val="nil"/>
              <w:right w:val="nil"/>
            </w:tcBorders>
            <w:shd w:val="clear" w:color="000000" w:fill="D9D9D9"/>
            <w:vAlign w:val="bottom"/>
            <w:hideMark/>
          </w:tcPr>
          <w:p w:rsidR="000D4813" w:rsidRDefault="000D4813">
            <w:pPr>
              <w:jc w:val="center"/>
              <w:outlineLvl w:val="0"/>
              <w:rPr>
                <w:b/>
                <w:bCs/>
                <w:sz w:val="20"/>
                <w:szCs w:val="20"/>
              </w:rPr>
            </w:pPr>
            <w:r>
              <w:rPr>
                <w:b/>
                <w:bCs/>
                <w:sz w:val="20"/>
                <w:szCs w:val="20"/>
              </w:rPr>
              <w:t>Αποτελέσματα εις νέον</w:t>
            </w:r>
          </w:p>
        </w:tc>
        <w:tc>
          <w:tcPr>
            <w:tcW w:w="1276" w:type="dxa"/>
            <w:tcBorders>
              <w:top w:val="nil"/>
              <w:left w:val="nil"/>
              <w:bottom w:val="nil"/>
              <w:right w:val="nil"/>
            </w:tcBorders>
            <w:shd w:val="clear" w:color="000000" w:fill="D9D9D9"/>
            <w:vAlign w:val="bottom"/>
            <w:hideMark/>
          </w:tcPr>
          <w:p w:rsidR="000D4813" w:rsidRDefault="000D4813">
            <w:pPr>
              <w:jc w:val="center"/>
              <w:outlineLvl w:val="0"/>
              <w:rPr>
                <w:b/>
                <w:bCs/>
                <w:sz w:val="20"/>
                <w:szCs w:val="20"/>
              </w:rPr>
            </w:pPr>
            <w:r>
              <w:rPr>
                <w:b/>
                <w:bCs/>
                <w:sz w:val="20"/>
                <w:szCs w:val="20"/>
              </w:rPr>
              <w:t>Σύνολο</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b/>
                <w:bCs/>
                <w:sz w:val="20"/>
                <w:szCs w:val="20"/>
              </w:rPr>
            </w:pPr>
            <w:r>
              <w:rPr>
                <w:b/>
                <w:bCs/>
                <w:sz w:val="20"/>
                <w:szCs w:val="20"/>
              </w:rPr>
              <w:t>Υπόλοιπο ιδίων κεφαλαίων την 31.12.16</w:t>
            </w:r>
          </w:p>
        </w:tc>
        <w:tc>
          <w:tcPr>
            <w:tcW w:w="596" w:type="dxa"/>
            <w:tcBorders>
              <w:top w:val="nil"/>
              <w:left w:val="nil"/>
              <w:bottom w:val="nil"/>
              <w:right w:val="nil"/>
            </w:tcBorders>
            <w:shd w:val="clear" w:color="auto" w:fill="auto"/>
            <w:noWrap/>
            <w:vAlign w:val="bottom"/>
            <w:hideMark/>
          </w:tcPr>
          <w:p w:rsidR="000D4813" w:rsidRDefault="000D4813">
            <w:pPr>
              <w:outlineLvl w:val="0"/>
              <w:rPr>
                <w:b/>
                <w:bCs/>
                <w:sz w:val="20"/>
                <w:szCs w:val="20"/>
              </w:rPr>
            </w:pPr>
          </w:p>
        </w:tc>
        <w:tc>
          <w:tcPr>
            <w:tcW w:w="1266"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1.830.000,00</w:t>
            </w:r>
          </w:p>
        </w:tc>
        <w:tc>
          <w:tcPr>
            <w:tcW w:w="1318"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260.100,00</w:t>
            </w:r>
          </w:p>
        </w:tc>
        <w:tc>
          <w:tcPr>
            <w:tcW w:w="1329"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199.154,69</w:t>
            </w:r>
          </w:p>
        </w:tc>
        <w:tc>
          <w:tcPr>
            <w:tcW w:w="1303" w:type="dxa"/>
            <w:tcBorders>
              <w:top w:val="single" w:sz="4" w:space="0" w:color="auto"/>
              <w:left w:val="nil"/>
              <w:bottom w:val="double" w:sz="6" w:space="0" w:color="auto"/>
              <w:right w:val="nil"/>
            </w:tcBorders>
            <w:shd w:val="clear" w:color="auto" w:fill="auto"/>
            <w:noWrap/>
            <w:vAlign w:val="bottom"/>
            <w:hideMark/>
          </w:tcPr>
          <w:p w:rsidR="000D4813" w:rsidRDefault="000D4813">
            <w:pPr>
              <w:outlineLvl w:val="0"/>
              <w:rPr>
                <w:b/>
                <w:bCs/>
                <w:sz w:val="20"/>
                <w:szCs w:val="20"/>
              </w:rPr>
            </w:pPr>
            <w:r>
              <w:rPr>
                <w:b/>
                <w:bCs/>
                <w:sz w:val="20"/>
                <w:szCs w:val="20"/>
              </w:rPr>
              <w:t xml:space="preserve">      1.839.057,80 </w:t>
            </w:r>
          </w:p>
        </w:tc>
        <w:tc>
          <w:tcPr>
            <w:tcW w:w="1276"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4.128.312,49</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jc w:val="right"/>
              <w:outlineLvl w:val="0"/>
              <w:rPr>
                <w:b/>
                <w:bCs/>
                <w:sz w:val="20"/>
                <w:szCs w:val="20"/>
              </w:rPr>
            </w:pP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18"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29"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03"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7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sz w:val="20"/>
                <w:szCs w:val="20"/>
                <w:u w:val="single"/>
              </w:rPr>
            </w:pPr>
            <w:r>
              <w:rPr>
                <w:sz w:val="20"/>
                <w:szCs w:val="20"/>
                <w:u w:val="single"/>
              </w:rPr>
              <w:t>Μεταβολές καθαρής θέσης 01.01.17 - 31.12.17</w:t>
            </w: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u w:val="single"/>
              </w:rPr>
            </w:pPr>
          </w:p>
        </w:tc>
        <w:tc>
          <w:tcPr>
            <w:tcW w:w="126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18"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29"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03"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7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Αποτέλεσμα χρήσης</w:t>
            </w: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18"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29"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03"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475.515,50</w:t>
            </w:r>
          </w:p>
        </w:tc>
        <w:tc>
          <w:tcPr>
            <w:tcW w:w="127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475.515,50</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Λοιπά συνολικά έσοδα μετά από φόρους</w:t>
            </w: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18"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29"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03"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27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Συνολικά έσοδα χρήσης</w:t>
            </w: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single" w:sz="4" w:space="0" w:color="auto"/>
              <w:left w:val="nil"/>
              <w:bottom w:val="single" w:sz="4" w:space="0" w:color="auto"/>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18" w:type="dxa"/>
            <w:tcBorders>
              <w:top w:val="single" w:sz="4" w:space="0" w:color="auto"/>
              <w:left w:val="nil"/>
              <w:bottom w:val="single" w:sz="4" w:space="0" w:color="auto"/>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29" w:type="dxa"/>
            <w:tcBorders>
              <w:top w:val="single" w:sz="4" w:space="0" w:color="auto"/>
              <w:left w:val="nil"/>
              <w:bottom w:val="single" w:sz="4" w:space="0" w:color="auto"/>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03" w:type="dxa"/>
            <w:tcBorders>
              <w:top w:val="single" w:sz="4" w:space="0" w:color="auto"/>
              <w:left w:val="nil"/>
              <w:bottom w:val="single" w:sz="4" w:space="0" w:color="auto"/>
              <w:right w:val="nil"/>
            </w:tcBorders>
            <w:shd w:val="clear" w:color="auto" w:fill="auto"/>
            <w:noWrap/>
            <w:vAlign w:val="bottom"/>
            <w:hideMark/>
          </w:tcPr>
          <w:p w:rsidR="000D4813" w:rsidRDefault="000D4813">
            <w:pPr>
              <w:jc w:val="right"/>
              <w:outlineLvl w:val="0"/>
              <w:rPr>
                <w:sz w:val="20"/>
                <w:szCs w:val="20"/>
              </w:rPr>
            </w:pPr>
            <w:r>
              <w:rPr>
                <w:sz w:val="20"/>
                <w:szCs w:val="20"/>
              </w:rPr>
              <w:t>475.515,50</w:t>
            </w:r>
          </w:p>
        </w:tc>
        <w:tc>
          <w:tcPr>
            <w:tcW w:w="1276" w:type="dxa"/>
            <w:tcBorders>
              <w:top w:val="single" w:sz="4" w:space="0" w:color="auto"/>
              <w:left w:val="nil"/>
              <w:bottom w:val="single" w:sz="4" w:space="0" w:color="auto"/>
              <w:right w:val="nil"/>
            </w:tcBorders>
            <w:shd w:val="clear" w:color="auto" w:fill="auto"/>
            <w:noWrap/>
            <w:vAlign w:val="bottom"/>
            <w:hideMark/>
          </w:tcPr>
          <w:p w:rsidR="000D4813" w:rsidRDefault="000D4813">
            <w:pPr>
              <w:jc w:val="right"/>
              <w:outlineLvl w:val="0"/>
              <w:rPr>
                <w:sz w:val="20"/>
                <w:szCs w:val="20"/>
              </w:rPr>
            </w:pPr>
            <w:r>
              <w:rPr>
                <w:sz w:val="20"/>
                <w:szCs w:val="20"/>
              </w:rPr>
              <w:t>475.515,50</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Μεταφορά κερδών στα αποθεματικά</w:t>
            </w: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18"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40.000,00</w:t>
            </w:r>
          </w:p>
        </w:tc>
        <w:tc>
          <w:tcPr>
            <w:tcW w:w="1329"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03"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 xml:space="preserve">          (40.000,00)</w:t>
            </w:r>
          </w:p>
        </w:tc>
        <w:tc>
          <w:tcPr>
            <w:tcW w:w="127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r>
      <w:tr w:rsidR="000D4813" w:rsidTr="000D4813">
        <w:trPr>
          <w:trHeight w:val="360"/>
        </w:trPr>
        <w:tc>
          <w:tcPr>
            <w:tcW w:w="4143" w:type="dxa"/>
            <w:gridSpan w:val="2"/>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Καθαρό κέρδος αναγνωρισμένο απ' ευθείας στα ίδια κεφάλαια</w:t>
            </w:r>
          </w:p>
        </w:tc>
        <w:tc>
          <w:tcPr>
            <w:tcW w:w="126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18"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29"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03"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2.727,95</w:t>
            </w:r>
          </w:p>
        </w:tc>
        <w:tc>
          <w:tcPr>
            <w:tcW w:w="1276"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 xml:space="preserve">          2.727,95 </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Μερίσματα - αμοιβές μελών Δ.Σ. πληρωτέες</w:t>
            </w: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18"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29"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03"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 xml:space="preserve">       (500.000,00)</w:t>
            </w:r>
          </w:p>
        </w:tc>
        <w:tc>
          <w:tcPr>
            <w:tcW w:w="1276"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 xml:space="preserve">    (500.000,00)</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b/>
                <w:bCs/>
                <w:sz w:val="20"/>
                <w:szCs w:val="20"/>
              </w:rPr>
            </w:pPr>
            <w:r>
              <w:rPr>
                <w:b/>
                <w:bCs/>
                <w:sz w:val="20"/>
                <w:szCs w:val="20"/>
              </w:rPr>
              <w:t>Υπόλοιπο ιδίων κεφαλαίων την 31.12.17</w:t>
            </w:r>
          </w:p>
        </w:tc>
        <w:tc>
          <w:tcPr>
            <w:tcW w:w="596" w:type="dxa"/>
            <w:tcBorders>
              <w:top w:val="nil"/>
              <w:left w:val="nil"/>
              <w:bottom w:val="nil"/>
              <w:right w:val="nil"/>
            </w:tcBorders>
            <w:shd w:val="clear" w:color="auto" w:fill="auto"/>
            <w:noWrap/>
            <w:vAlign w:val="bottom"/>
            <w:hideMark/>
          </w:tcPr>
          <w:p w:rsidR="000D4813" w:rsidRDefault="000D4813">
            <w:pPr>
              <w:outlineLvl w:val="0"/>
              <w:rPr>
                <w:b/>
                <w:bCs/>
                <w:sz w:val="20"/>
                <w:szCs w:val="20"/>
              </w:rPr>
            </w:pPr>
          </w:p>
        </w:tc>
        <w:tc>
          <w:tcPr>
            <w:tcW w:w="1266"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1.830.000,00</w:t>
            </w:r>
          </w:p>
        </w:tc>
        <w:tc>
          <w:tcPr>
            <w:tcW w:w="1318"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300.100,00</w:t>
            </w:r>
          </w:p>
        </w:tc>
        <w:tc>
          <w:tcPr>
            <w:tcW w:w="1329"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199.154,69</w:t>
            </w:r>
          </w:p>
        </w:tc>
        <w:tc>
          <w:tcPr>
            <w:tcW w:w="1303" w:type="dxa"/>
            <w:tcBorders>
              <w:top w:val="single" w:sz="4" w:space="0" w:color="auto"/>
              <w:left w:val="nil"/>
              <w:bottom w:val="double" w:sz="6" w:space="0" w:color="auto"/>
              <w:right w:val="nil"/>
            </w:tcBorders>
            <w:shd w:val="clear" w:color="auto" w:fill="auto"/>
            <w:noWrap/>
            <w:vAlign w:val="bottom"/>
            <w:hideMark/>
          </w:tcPr>
          <w:p w:rsidR="000D4813" w:rsidRDefault="000D4813">
            <w:pPr>
              <w:outlineLvl w:val="0"/>
              <w:rPr>
                <w:b/>
                <w:bCs/>
                <w:sz w:val="20"/>
                <w:szCs w:val="20"/>
              </w:rPr>
            </w:pPr>
            <w:r>
              <w:rPr>
                <w:b/>
                <w:bCs/>
                <w:sz w:val="20"/>
                <w:szCs w:val="20"/>
              </w:rPr>
              <w:t xml:space="preserve">      1.777.301,25 </w:t>
            </w:r>
          </w:p>
        </w:tc>
        <w:tc>
          <w:tcPr>
            <w:tcW w:w="1276"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4.106.555,94</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jc w:val="right"/>
              <w:outlineLvl w:val="0"/>
              <w:rPr>
                <w:b/>
                <w:bCs/>
                <w:sz w:val="20"/>
                <w:szCs w:val="20"/>
              </w:rPr>
            </w:pP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18"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29"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03"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7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b/>
                <w:bCs/>
                <w:sz w:val="20"/>
                <w:szCs w:val="20"/>
              </w:rPr>
            </w:pPr>
            <w:r>
              <w:rPr>
                <w:b/>
                <w:bCs/>
                <w:sz w:val="20"/>
                <w:szCs w:val="20"/>
              </w:rPr>
              <w:t>Υπόλοιπο ιδίων κεφαλαίων την 31.12.17</w:t>
            </w:r>
          </w:p>
        </w:tc>
        <w:tc>
          <w:tcPr>
            <w:tcW w:w="596" w:type="dxa"/>
            <w:tcBorders>
              <w:top w:val="nil"/>
              <w:left w:val="nil"/>
              <w:bottom w:val="nil"/>
              <w:right w:val="nil"/>
            </w:tcBorders>
            <w:shd w:val="clear" w:color="auto" w:fill="auto"/>
            <w:noWrap/>
            <w:vAlign w:val="bottom"/>
            <w:hideMark/>
          </w:tcPr>
          <w:p w:rsidR="000D4813" w:rsidRDefault="000D4813">
            <w:pPr>
              <w:outlineLvl w:val="0"/>
              <w:rPr>
                <w:b/>
                <w:bCs/>
                <w:sz w:val="20"/>
                <w:szCs w:val="20"/>
              </w:rPr>
            </w:pPr>
          </w:p>
        </w:tc>
        <w:tc>
          <w:tcPr>
            <w:tcW w:w="1266"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1.830.000,00</w:t>
            </w:r>
          </w:p>
        </w:tc>
        <w:tc>
          <w:tcPr>
            <w:tcW w:w="1318"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300.100,00</w:t>
            </w:r>
          </w:p>
        </w:tc>
        <w:tc>
          <w:tcPr>
            <w:tcW w:w="1329"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199.154,69</w:t>
            </w:r>
          </w:p>
        </w:tc>
        <w:tc>
          <w:tcPr>
            <w:tcW w:w="1303"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1.777.301,25</w:t>
            </w:r>
          </w:p>
        </w:tc>
        <w:tc>
          <w:tcPr>
            <w:tcW w:w="1276"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outlineLvl w:val="0"/>
              <w:rPr>
                <w:b/>
                <w:bCs/>
                <w:sz w:val="20"/>
                <w:szCs w:val="20"/>
              </w:rPr>
            </w:pPr>
            <w:r>
              <w:rPr>
                <w:b/>
                <w:bCs/>
                <w:sz w:val="20"/>
                <w:szCs w:val="20"/>
              </w:rPr>
              <w:t>4.106.555,94</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jc w:val="right"/>
              <w:outlineLvl w:val="0"/>
              <w:rPr>
                <w:b/>
                <w:bCs/>
                <w:sz w:val="20"/>
                <w:szCs w:val="20"/>
              </w:rPr>
            </w:pP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18"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29"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03"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7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sz w:val="20"/>
                <w:szCs w:val="20"/>
                <w:u w:val="single"/>
              </w:rPr>
            </w:pPr>
            <w:r>
              <w:rPr>
                <w:sz w:val="20"/>
                <w:szCs w:val="20"/>
                <w:u w:val="single"/>
              </w:rPr>
              <w:t>Μεταβολές καθαρής θέσης 01.01.18 - 31.12.18</w:t>
            </w: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u w:val="single"/>
              </w:rPr>
            </w:pPr>
          </w:p>
        </w:tc>
        <w:tc>
          <w:tcPr>
            <w:tcW w:w="126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18"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29"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303"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7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Αποτέλεσμα χρήσης</w:t>
            </w: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18"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29"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03"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372.710,45</w:t>
            </w:r>
          </w:p>
        </w:tc>
        <w:tc>
          <w:tcPr>
            <w:tcW w:w="127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372.710,45</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Λοιπά συνολικά έσοδα μετά από φόρους</w:t>
            </w: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18"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29"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03"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27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Συνολικά έσοδα χρήσης</w:t>
            </w: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single" w:sz="4" w:space="0" w:color="auto"/>
              <w:left w:val="nil"/>
              <w:bottom w:val="single" w:sz="4" w:space="0" w:color="auto"/>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18" w:type="dxa"/>
            <w:tcBorders>
              <w:top w:val="single" w:sz="4" w:space="0" w:color="auto"/>
              <w:left w:val="nil"/>
              <w:bottom w:val="single" w:sz="4" w:space="0" w:color="auto"/>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29" w:type="dxa"/>
            <w:tcBorders>
              <w:top w:val="single" w:sz="4" w:space="0" w:color="auto"/>
              <w:left w:val="nil"/>
              <w:bottom w:val="single" w:sz="4" w:space="0" w:color="auto"/>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03" w:type="dxa"/>
            <w:tcBorders>
              <w:top w:val="single" w:sz="4" w:space="0" w:color="auto"/>
              <w:left w:val="nil"/>
              <w:bottom w:val="single" w:sz="4" w:space="0" w:color="auto"/>
              <w:right w:val="nil"/>
            </w:tcBorders>
            <w:shd w:val="clear" w:color="auto" w:fill="auto"/>
            <w:noWrap/>
            <w:vAlign w:val="bottom"/>
            <w:hideMark/>
          </w:tcPr>
          <w:p w:rsidR="000D4813" w:rsidRDefault="000D4813">
            <w:pPr>
              <w:outlineLvl w:val="0"/>
              <w:rPr>
                <w:sz w:val="20"/>
                <w:szCs w:val="20"/>
              </w:rPr>
            </w:pPr>
            <w:r>
              <w:rPr>
                <w:sz w:val="20"/>
                <w:szCs w:val="20"/>
              </w:rPr>
              <w:t xml:space="preserve">         372.710,45 </w:t>
            </w:r>
          </w:p>
        </w:tc>
        <w:tc>
          <w:tcPr>
            <w:tcW w:w="1276" w:type="dxa"/>
            <w:tcBorders>
              <w:top w:val="single" w:sz="4" w:space="0" w:color="auto"/>
              <w:left w:val="nil"/>
              <w:bottom w:val="single" w:sz="4" w:space="0" w:color="auto"/>
              <w:right w:val="nil"/>
            </w:tcBorders>
            <w:shd w:val="clear" w:color="auto" w:fill="auto"/>
            <w:noWrap/>
            <w:vAlign w:val="bottom"/>
            <w:hideMark/>
          </w:tcPr>
          <w:p w:rsidR="000D4813" w:rsidRDefault="000D4813">
            <w:pPr>
              <w:outlineLvl w:val="0"/>
              <w:rPr>
                <w:sz w:val="20"/>
                <w:szCs w:val="20"/>
              </w:rPr>
            </w:pPr>
            <w:r>
              <w:rPr>
                <w:sz w:val="20"/>
                <w:szCs w:val="20"/>
              </w:rPr>
              <w:t xml:space="preserve">      372.710,45 </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Μεταφορά κερδών στα αποθεματικά</w:t>
            </w: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18"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30.000,00</w:t>
            </w:r>
          </w:p>
        </w:tc>
        <w:tc>
          <w:tcPr>
            <w:tcW w:w="1329"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03"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 xml:space="preserve">          (30.000,00)</w:t>
            </w:r>
          </w:p>
        </w:tc>
        <w:tc>
          <w:tcPr>
            <w:tcW w:w="127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r>
      <w:tr w:rsidR="000D4813" w:rsidTr="000D4813">
        <w:trPr>
          <w:trHeight w:val="360"/>
        </w:trPr>
        <w:tc>
          <w:tcPr>
            <w:tcW w:w="4143" w:type="dxa"/>
            <w:gridSpan w:val="2"/>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Καθαρό κέρδος αναγνωρισμένο απ' ευθείας στα ίδια κεφάλαια</w:t>
            </w:r>
          </w:p>
        </w:tc>
        <w:tc>
          <w:tcPr>
            <w:tcW w:w="126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18"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29"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03"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27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Μερίσματα - αμοιβές μελών Δ.Σ. πληρωτέες</w:t>
            </w:r>
          </w:p>
        </w:tc>
        <w:tc>
          <w:tcPr>
            <w:tcW w:w="596" w:type="dxa"/>
            <w:tcBorders>
              <w:top w:val="nil"/>
              <w:left w:val="nil"/>
              <w:bottom w:val="nil"/>
              <w:right w:val="nil"/>
            </w:tcBorders>
            <w:shd w:val="clear" w:color="auto" w:fill="auto"/>
            <w:noWrap/>
            <w:vAlign w:val="bottom"/>
            <w:hideMark/>
          </w:tcPr>
          <w:p w:rsidR="000D4813" w:rsidRDefault="000D4813">
            <w:pPr>
              <w:outlineLvl w:val="0"/>
              <w:rPr>
                <w:sz w:val="20"/>
                <w:szCs w:val="20"/>
              </w:rPr>
            </w:pPr>
          </w:p>
        </w:tc>
        <w:tc>
          <w:tcPr>
            <w:tcW w:w="1266"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18"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29" w:type="dxa"/>
            <w:tcBorders>
              <w:top w:val="nil"/>
              <w:left w:val="nil"/>
              <w:bottom w:val="nil"/>
              <w:right w:val="nil"/>
            </w:tcBorders>
            <w:shd w:val="clear" w:color="auto" w:fill="auto"/>
            <w:noWrap/>
            <w:vAlign w:val="bottom"/>
            <w:hideMark/>
          </w:tcPr>
          <w:p w:rsidR="000D4813" w:rsidRDefault="000D4813">
            <w:pPr>
              <w:jc w:val="right"/>
              <w:outlineLvl w:val="0"/>
              <w:rPr>
                <w:sz w:val="20"/>
                <w:szCs w:val="20"/>
              </w:rPr>
            </w:pPr>
            <w:r>
              <w:rPr>
                <w:sz w:val="20"/>
                <w:szCs w:val="20"/>
              </w:rPr>
              <w:t>0,00</w:t>
            </w:r>
          </w:p>
        </w:tc>
        <w:tc>
          <w:tcPr>
            <w:tcW w:w="1303"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 xml:space="preserve">       (390.000,00)</w:t>
            </w:r>
          </w:p>
        </w:tc>
        <w:tc>
          <w:tcPr>
            <w:tcW w:w="1276" w:type="dxa"/>
            <w:tcBorders>
              <w:top w:val="nil"/>
              <w:left w:val="nil"/>
              <w:bottom w:val="nil"/>
              <w:right w:val="nil"/>
            </w:tcBorders>
            <w:shd w:val="clear" w:color="auto" w:fill="auto"/>
            <w:noWrap/>
            <w:vAlign w:val="bottom"/>
            <w:hideMark/>
          </w:tcPr>
          <w:p w:rsidR="000D4813" w:rsidRDefault="000D4813">
            <w:pPr>
              <w:outlineLvl w:val="0"/>
              <w:rPr>
                <w:sz w:val="20"/>
                <w:szCs w:val="20"/>
              </w:rPr>
            </w:pPr>
            <w:r>
              <w:rPr>
                <w:sz w:val="20"/>
                <w:szCs w:val="20"/>
              </w:rPr>
              <w:t xml:space="preserve">    (390.000,00)</w:t>
            </w:r>
          </w:p>
        </w:tc>
      </w:tr>
      <w:tr w:rsidR="000D4813" w:rsidTr="000D4813">
        <w:trPr>
          <w:trHeight w:val="360"/>
        </w:trPr>
        <w:tc>
          <w:tcPr>
            <w:tcW w:w="3545" w:type="dxa"/>
            <w:tcBorders>
              <w:top w:val="nil"/>
              <w:left w:val="nil"/>
              <w:bottom w:val="nil"/>
              <w:right w:val="nil"/>
            </w:tcBorders>
            <w:shd w:val="clear" w:color="auto" w:fill="auto"/>
            <w:noWrap/>
            <w:vAlign w:val="bottom"/>
            <w:hideMark/>
          </w:tcPr>
          <w:p w:rsidR="000D4813" w:rsidRDefault="000D4813">
            <w:pPr>
              <w:rPr>
                <w:b/>
                <w:bCs/>
                <w:sz w:val="20"/>
                <w:szCs w:val="20"/>
              </w:rPr>
            </w:pPr>
            <w:r>
              <w:rPr>
                <w:b/>
                <w:bCs/>
                <w:sz w:val="20"/>
                <w:szCs w:val="20"/>
              </w:rPr>
              <w:t>Υπόλοιπο ιδίων κεφαλαίων την 31.12.18</w:t>
            </w:r>
          </w:p>
        </w:tc>
        <w:tc>
          <w:tcPr>
            <w:tcW w:w="596" w:type="dxa"/>
            <w:tcBorders>
              <w:top w:val="nil"/>
              <w:left w:val="nil"/>
              <w:bottom w:val="nil"/>
              <w:right w:val="nil"/>
            </w:tcBorders>
            <w:shd w:val="clear" w:color="auto" w:fill="auto"/>
            <w:noWrap/>
            <w:vAlign w:val="bottom"/>
            <w:hideMark/>
          </w:tcPr>
          <w:p w:rsidR="000D4813" w:rsidRDefault="000D4813">
            <w:pPr>
              <w:rPr>
                <w:b/>
                <w:bCs/>
                <w:sz w:val="20"/>
                <w:szCs w:val="20"/>
              </w:rPr>
            </w:pPr>
          </w:p>
        </w:tc>
        <w:tc>
          <w:tcPr>
            <w:tcW w:w="1266"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rPr>
                <w:b/>
                <w:bCs/>
                <w:sz w:val="20"/>
                <w:szCs w:val="20"/>
              </w:rPr>
            </w:pPr>
            <w:r>
              <w:rPr>
                <w:b/>
                <w:bCs/>
                <w:sz w:val="20"/>
                <w:szCs w:val="20"/>
              </w:rPr>
              <w:t>1.830.000,00</w:t>
            </w:r>
          </w:p>
        </w:tc>
        <w:tc>
          <w:tcPr>
            <w:tcW w:w="1318"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rPr>
                <w:b/>
                <w:bCs/>
                <w:sz w:val="20"/>
                <w:szCs w:val="20"/>
              </w:rPr>
            </w:pPr>
            <w:r>
              <w:rPr>
                <w:b/>
                <w:bCs/>
                <w:sz w:val="20"/>
                <w:szCs w:val="20"/>
              </w:rPr>
              <w:t>330.100,00</w:t>
            </w:r>
          </w:p>
        </w:tc>
        <w:tc>
          <w:tcPr>
            <w:tcW w:w="1329"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rPr>
                <w:b/>
                <w:bCs/>
                <w:sz w:val="20"/>
                <w:szCs w:val="20"/>
              </w:rPr>
            </w:pPr>
            <w:r>
              <w:rPr>
                <w:b/>
                <w:bCs/>
                <w:sz w:val="20"/>
                <w:szCs w:val="20"/>
              </w:rPr>
              <w:t>199.154,69</w:t>
            </w:r>
          </w:p>
        </w:tc>
        <w:tc>
          <w:tcPr>
            <w:tcW w:w="1303" w:type="dxa"/>
            <w:tcBorders>
              <w:top w:val="single" w:sz="4" w:space="0" w:color="auto"/>
              <w:left w:val="nil"/>
              <w:bottom w:val="double" w:sz="6" w:space="0" w:color="auto"/>
              <w:right w:val="nil"/>
            </w:tcBorders>
            <w:shd w:val="clear" w:color="auto" w:fill="auto"/>
            <w:noWrap/>
            <w:vAlign w:val="bottom"/>
            <w:hideMark/>
          </w:tcPr>
          <w:p w:rsidR="000D4813" w:rsidRDefault="000D4813">
            <w:pPr>
              <w:rPr>
                <w:b/>
                <w:bCs/>
                <w:sz w:val="20"/>
                <w:szCs w:val="20"/>
              </w:rPr>
            </w:pPr>
            <w:r>
              <w:rPr>
                <w:b/>
                <w:bCs/>
                <w:sz w:val="20"/>
                <w:szCs w:val="20"/>
              </w:rPr>
              <w:t xml:space="preserve">      1.730.011,70 </w:t>
            </w:r>
          </w:p>
        </w:tc>
        <w:tc>
          <w:tcPr>
            <w:tcW w:w="1276"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rPr>
                <w:b/>
                <w:bCs/>
                <w:sz w:val="20"/>
                <w:szCs w:val="20"/>
              </w:rPr>
            </w:pPr>
            <w:r>
              <w:rPr>
                <w:b/>
                <w:bCs/>
                <w:sz w:val="20"/>
                <w:szCs w:val="20"/>
              </w:rPr>
              <w:t>4.089.266,39</w:t>
            </w:r>
          </w:p>
        </w:tc>
      </w:tr>
    </w:tbl>
    <w:p w:rsidR="000D4813" w:rsidRDefault="000D4813" w:rsidP="00EA5CD8">
      <w:pPr>
        <w:ind w:left="-1134"/>
        <w:jc w:val="both"/>
        <w:rPr>
          <w:rFonts w:ascii="Tahoma" w:hAnsi="Tahoma" w:cs="Tahoma"/>
          <w:sz w:val="22"/>
          <w:szCs w:val="22"/>
          <w:lang w:val="en-US"/>
        </w:rPr>
      </w:pPr>
    </w:p>
    <w:p w:rsidR="000D4813" w:rsidRDefault="000D4813" w:rsidP="00EA5CD8">
      <w:pPr>
        <w:ind w:left="-1134"/>
        <w:jc w:val="both"/>
        <w:rPr>
          <w:rFonts w:ascii="Tahoma" w:hAnsi="Tahoma" w:cs="Tahoma"/>
          <w:sz w:val="22"/>
          <w:szCs w:val="22"/>
          <w:lang w:val="en-US"/>
        </w:rPr>
      </w:pPr>
    </w:p>
    <w:p w:rsidR="000D4813" w:rsidRDefault="000D4813" w:rsidP="00EA5CD8">
      <w:pPr>
        <w:ind w:left="-1134"/>
        <w:jc w:val="both"/>
        <w:rPr>
          <w:rFonts w:ascii="Tahoma" w:hAnsi="Tahoma" w:cs="Tahoma"/>
          <w:sz w:val="22"/>
          <w:szCs w:val="22"/>
          <w:lang w:val="en-US"/>
        </w:rPr>
      </w:pPr>
    </w:p>
    <w:p w:rsidR="000D4813" w:rsidRPr="00485A4C" w:rsidRDefault="000D4813" w:rsidP="00EA5CD8">
      <w:pPr>
        <w:ind w:left="-1134"/>
        <w:jc w:val="both"/>
        <w:rPr>
          <w:rFonts w:ascii="Tahoma" w:hAnsi="Tahoma" w:cs="Tahoma"/>
          <w:sz w:val="22"/>
          <w:szCs w:val="22"/>
          <w:highlight w:val="red"/>
          <w:lang w:val="en-US"/>
        </w:rPr>
      </w:pPr>
    </w:p>
    <w:p w:rsidR="007D6E9A" w:rsidRPr="00485A4C" w:rsidRDefault="007D6E9A" w:rsidP="00D20605">
      <w:pPr>
        <w:ind w:left="-993"/>
        <w:jc w:val="both"/>
        <w:rPr>
          <w:rFonts w:ascii="Tahoma" w:hAnsi="Tahoma" w:cs="Tahoma"/>
          <w:sz w:val="22"/>
          <w:szCs w:val="22"/>
          <w:highlight w:val="red"/>
          <w:lang w:val="en-US"/>
        </w:rPr>
      </w:pPr>
    </w:p>
    <w:p w:rsidR="00D20605" w:rsidRPr="00485A4C" w:rsidRDefault="00D20605" w:rsidP="008A7FED">
      <w:pPr>
        <w:ind w:left="-1418"/>
        <w:jc w:val="both"/>
        <w:rPr>
          <w:rFonts w:ascii="Tahoma" w:hAnsi="Tahoma" w:cs="Tahoma"/>
          <w:sz w:val="22"/>
          <w:szCs w:val="22"/>
        </w:rPr>
      </w:pPr>
      <w:r w:rsidRPr="00485A4C">
        <w:rPr>
          <w:rFonts w:ascii="Tahoma" w:hAnsi="Tahoma" w:cs="Tahoma"/>
          <w:sz w:val="22"/>
          <w:szCs w:val="22"/>
        </w:rPr>
        <w:t>(Ο</w:t>
      </w:r>
      <w:r w:rsidR="00AA45D6" w:rsidRPr="00485A4C">
        <w:rPr>
          <w:rFonts w:ascii="Tahoma" w:hAnsi="Tahoma" w:cs="Tahoma"/>
          <w:sz w:val="22"/>
          <w:szCs w:val="22"/>
        </w:rPr>
        <w:t>ι σημειώσεις στις σελίδες  1</w:t>
      </w:r>
      <w:r w:rsidR="0025494D" w:rsidRPr="00485A4C">
        <w:rPr>
          <w:rFonts w:ascii="Tahoma" w:hAnsi="Tahoma" w:cs="Tahoma"/>
          <w:sz w:val="22"/>
          <w:szCs w:val="22"/>
          <w:lang w:val="en-US"/>
        </w:rPr>
        <w:t>0</w:t>
      </w:r>
      <w:r w:rsidRPr="00485A4C">
        <w:rPr>
          <w:rFonts w:ascii="Tahoma" w:hAnsi="Tahoma" w:cs="Tahoma"/>
          <w:sz w:val="22"/>
          <w:szCs w:val="22"/>
        </w:rPr>
        <w:t xml:space="preserve"> - </w:t>
      </w:r>
      <w:r w:rsidR="00D94651">
        <w:rPr>
          <w:rFonts w:ascii="Tahoma" w:hAnsi="Tahoma" w:cs="Tahoma"/>
          <w:sz w:val="22"/>
          <w:szCs w:val="22"/>
          <w:lang w:val="en-US"/>
        </w:rPr>
        <w:t>53</w:t>
      </w:r>
      <w:r w:rsidRPr="00485A4C">
        <w:rPr>
          <w:rFonts w:ascii="Tahoma" w:hAnsi="Tahoma" w:cs="Tahoma"/>
          <w:sz w:val="22"/>
          <w:szCs w:val="22"/>
        </w:rPr>
        <w:t xml:space="preserve"> αποτελούν αναπόσπαστο μέρος των οικονομικών καταστάσεων)</w:t>
      </w:r>
    </w:p>
    <w:p w:rsidR="000103DE" w:rsidRPr="00485A4C" w:rsidRDefault="000103DE" w:rsidP="00650419">
      <w:pPr>
        <w:ind w:left="-993"/>
        <w:jc w:val="both"/>
        <w:rPr>
          <w:rFonts w:ascii="Tahoma" w:hAnsi="Tahoma" w:cs="Tahoma"/>
          <w:sz w:val="22"/>
          <w:szCs w:val="22"/>
          <w:highlight w:val="red"/>
        </w:rPr>
      </w:pPr>
    </w:p>
    <w:p w:rsidR="00C4516E" w:rsidRPr="00485A4C" w:rsidRDefault="00C4516E" w:rsidP="004A4C37">
      <w:pPr>
        <w:pStyle w:val="Heading2"/>
        <w:ind w:left="-540"/>
        <w:rPr>
          <w:rFonts w:ascii="Tahoma" w:hAnsi="Tahoma" w:cs="Tahoma"/>
          <w:sz w:val="22"/>
          <w:szCs w:val="22"/>
          <w:highlight w:val="red"/>
        </w:rPr>
      </w:pPr>
      <w:bookmarkStart w:id="12" w:name="_Toc147309336"/>
    </w:p>
    <w:p w:rsidR="00BF6CEA" w:rsidRPr="00485A4C" w:rsidRDefault="00BF6CEA" w:rsidP="00305015">
      <w:pPr>
        <w:pStyle w:val="Heading2"/>
        <w:ind w:left="-1418"/>
        <w:rPr>
          <w:rFonts w:ascii="Tahoma" w:hAnsi="Tahoma" w:cs="Tahoma"/>
          <w:sz w:val="22"/>
          <w:szCs w:val="22"/>
        </w:rPr>
      </w:pPr>
      <w:bookmarkStart w:id="13" w:name="_Toc526260597"/>
      <w:bookmarkEnd w:id="12"/>
      <w:r w:rsidRPr="00485A4C">
        <w:rPr>
          <w:rFonts w:ascii="Tahoma" w:hAnsi="Tahoma" w:cs="Tahoma"/>
          <w:sz w:val="22"/>
          <w:szCs w:val="22"/>
        </w:rPr>
        <w:t>Κατάσταση τα</w:t>
      </w:r>
      <w:r w:rsidR="006D6332" w:rsidRPr="00485A4C">
        <w:rPr>
          <w:rFonts w:ascii="Tahoma" w:hAnsi="Tahoma" w:cs="Tahoma"/>
          <w:sz w:val="22"/>
          <w:szCs w:val="22"/>
        </w:rPr>
        <w:t>μ</w:t>
      </w:r>
      <w:r w:rsidR="00C57A7C" w:rsidRPr="00485A4C">
        <w:rPr>
          <w:rFonts w:ascii="Tahoma" w:hAnsi="Tahoma" w:cs="Tahoma"/>
          <w:sz w:val="22"/>
          <w:szCs w:val="22"/>
        </w:rPr>
        <w:t>ε</w:t>
      </w:r>
      <w:r w:rsidRPr="00485A4C">
        <w:rPr>
          <w:rFonts w:ascii="Tahoma" w:hAnsi="Tahoma" w:cs="Tahoma"/>
          <w:sz w:val="22"/>
          <w:szCs w:val="22"/>
        </w:rPr>
        <w:t>ιακών ροών</w:t>
      </w:r>
      <w:r w:rsidR="004A4C37" w:rsidRPr="00485A4C">
        <w:rPr>
          <w:rFonts w:ascii="Tahoma" w:hAnsi="Tahoma" w:cs="Tahoma"/>
          <w:sz w:val="22"/>
          <w:szCs w:val="22"/>
        </w:rPr>
        <w:t xml:space="preserve"> </w:t>
      </w:r>
      <w:r w:rsidR="0052335B" w:rsidRPr="00485A4C">
        <w:rPr>
          <w:rFonts w:ascii="Tahoma" w:hAnsi="Tahoma" w:cs="Tahoma"/>
          <w:b w:val="0"/>
          <w:sz w:val="22"/>
          <w:szCs w:val="22"/>
        </w:rPr>
        <w:t xml:space="preserve">(ποσά σε </w:t>
      </w:r>
      <w:r w:rsidR="004A4C37" w:rsidRPr="00485A4C">
        <w:rPr>
          <w:rFonts w:ascii="Tahoma" w:hAnsi="Tahoma" w:cs="Tahoma"/>
          <w:b w:val="0"/>
          <w:sz w:val="22"/>
          <w:szCs w:val="22"/>
        </w:rPr>
        <w:t>€</w:t>
      </w:r>
      <w:r w:rsidR="0052335B" w:rsidRPr="00485A4C">
        <w:rPr>
          <w:rFonts w:ascii="Tahoma" w:hAnsi="Tahoma" w:cs="Tahoma"/>
          <w:b w:val="0"/>
          <w:sz w:val="22"/>
          <w:szCs w:val="22"/>
        </w:rPr>
        <w:t>)</w:t>
      </w:r>
      <w:bookmarkEnd w:id="13"/>
    </w:p>
    <w:p w:rsidR="00026455" w:rsidRDefault="00026455" w:rsidP="00305015">
      <w:pPr>
        <w:ind w:left="-567"/>
        <w:jc w:val="both"/>
        <w:rPr>
          <w:rFonts w:ascii="Tahoma" w:hAnsi="Tahoma" w:cs="Tahoma"/>
          <w:sz w:val="22"/>
          <w:szCs w:val="22"/>
          <w:lang w:val="en-US"/>
        </w:rPr>
      </w:pPr>
    </w:p>
    <w:tbl>
      <w:tblPr>
        <w:tblW w:w="9722" w:type="dxa"/>
        <w:tblInd w:w="-1560" w:type="dxa"/>
        <w:tblLook w:val="04A0" w:firstRow="1" w:lastRow="0" w:firstColumn="1" w:lastColumn="0" w:noHBand="0" w:noVBand="1"/>
      </w:tblPr>
      <w:tblGrid>
        <w:gridCol w:w="5246"/>
        <w:gridCol w:w="271"/>
        <w:gridCol w:w="271"/>
        <w:gridCol w:w="1896"/>
        <w:gridCol w:w="222"/>
        <w:gridCol w:w="1816"/>
      </w:tblGrid>
      <w:tr w:rsidR="000D4813" w:rsidTr="000D4813">
        <w:trPr>
          <w:trHeight w:val="276"/>
        </w:trPr>
        <w:tc>
          <w:tcPr>
            <w:tcW w:w="5246" w:type="dxa"/>
            <w:tcBorders>
              <w:top w:val="nil"/>
              <w:left w:val="nil"/>
              <w:bottom w:val="nil"/>
              <w:right w:val="nil"/>
            </w:tcBorders>
            <w:shd w:val="clear" w:color="auto" w:fill="auto"/>
            <w:noWrap/>
            <w:vAlign w:val="bottom"/>
            <w:hideMark/>
          </w:tcPr>
          <w:p w:rsidR="000D4813" w:rsidRDefault="000D4813">
            <w:pPr>
              <w:rPr>
                <w:b/>
                <w:bCs/>
                <w:sz w:val="22"/>
                <w:szCs w:val="22"/>
              </w:rPr>
            </w:pPr>
            <w:r>
              <w:rPr>
                <w:b/>
                <w:bCs/>
                <w:sz w:val="22"/>
                <w:szCs w:val="22"/>
              </w:rPr>
              <w:t>ΚΑΤΑΣΤΑΣΗ  ΤΑΜΕΙΑΚΩΝ ΡΟΩΝ</w:t>
            </w:r>
          </w:p>
        </w:tc>
        <w:tc>
          <w:tcPr>
            <w:tcW w:w="271" w:type="dxa"/>
            <w:tcBorders>
              <w:top w:val="nil"/>
              <w:left w:val="nil"/>
              <w:bottom w:val="nil"/>
              <w:right w:val="nil"/>
            </w:tcBorders>
            <w:shd w:val="clear" w:color="auto" w:fill="auto"/>
            <w:noWrap/>
            <w:vAlign w:val="bottom"/>
            <w:hideMark/>
          </w:tcPr>
          <w:p w:rsidR="000D4813" w:rsidRDefault="000D4813">
            <w:pPr>
              <w:rPr>
                <w:b/>
                <w:bCs/>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jc w:val="right"/>
              <w:rPr>
                <w:sz w:val="20"/>
                <w:szCs w:val="20"/>
              </w:rPr>
            </w:pPr>
          </w:p>
        </w:tc>
        <w:tc>
          <w:tcPr>
            <w:tcW w:w="222" w:type="dxa"/>
            <w:tcBorders>
              <w:top w:val="nil"/>
              <w:left w:val="nil"/>
              <w:bottom w:val="nil"/>
              <w:right w:val="nil"/>
            </w:tcBorders>
            <w:shd w:val="clear" w:color="auto" w:fill="auto"/>
            <w:noWrap/>
            <w:vAlign w:val="bottom"/>
            <w:hideMark/>
          </w:tcPr>
          <w:p w:rsidR="000D4813" w:rsidRDefault="000D4813">
            <w:pPr>
              <w:rPr>
                <w:sz w:val="20"/>
                <w:szCs w:val="20"/>
              </w:rPr>
            </w:pPr>
          </w:p>
        </w:tc>
        <w:tc>
          <w:tcPr>
            <w:tcW w:w="1816" w:type="dxa"/>
            <w:tcBorders>
              <w:top w:val="nil"/>
              <w:left w:val="nil"/>
              <w:bottom w:val="nil"/>
              <w:right w:val="nil"/>
            </w:tcBorders>
            <w:shd w:val="clear" w:color="auto" w:fill="auto"/>
            <w:noWrap/>
            <w:vAlign w:val="bottom"/>
            <w:hideMark/>
          </w:tcPr>
          <w:p w:rsidR="000D4813" w:rsidRDefault="000D4813">
            <w:pPr>
              <w:rPr>
                <w:sz w:val="20"/>
                <w:szCs w:val="20"/>
              </w:rPr>
            </w:pPr>
          </w:p>
        </w:tc>
      </w:tr>
      <w:tr w:rsidR="000D4813" w:rsidTr="000D4813">
        <w:trPr>
          <w:trHeight w:val="276"/>
        </w:trPr>
        <w:tc>
          <w:tcPr>
            <w:tcW w:w="5246" w:type="dxa"/>
            <w:tcBorders>
              <w:top w:val="nil"/>
              <w:left w:val="nil"/>
              <w:bottom w:val="nil"/>
              <w:right w:val="nil"/>
            </w:tcBorders>
            <w:shd w:val="clear" w:color="auto" w:fill="auto"/>
            <w:noWrap/>
            <w:vAlign w:val="bottom"/>
            <w:hideMark/>
          </w:tcPr>
          <w:p w:rsidR="000D4813" w:rsidRDefault="000D4813">
            <w:pPr>
              <w:rPr>
                <w:i/>
                <w:iCs/>
                <w:sz w:val="22"/>
                <w:szCs w:val="22"/>
              </w:rPr>
            </w:pPr>
            <w:r>
              <w:rPr>
                <w:i/>
                <w:iCs/>
                <w:sz w:val="22"/>
                <w:szCs w:val="22"/>
              </w:rPr>
              <w:t>(ΕΜΜΕΣΗ ΜΕΘΟΔΟΣ)</w:t>
            </w:r>
          </w:p>
        </w:tc>
        <w:tc>
          <w:tcPr>
            <w:tcW w:w="271" w:type="dxa"/>
            <w:tcBorders>
              <w:top w:val="nil"/>
              <w:left w:val="nil"/>
              <w:bottom w:val="nil"/>
              <w:right w:val="nil"/>
            </w:tcBorders>
            <w:shd w:val="clear" w:color="auto" w:fill="auto"/>
            <w:noWrap/>
            <w:vAlign w:val="bottom"/>
            <w:hideMark/>
          </w:tcPr>
          <w:p w:rsidR="000D4813" w:rsidRDefault="000D4813">
            <w:pPr>
              <w:rPr>
                <w:i/>
                <w:iCs/>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jc w:val="right"/>
              <w:rPr>
                <w:sz w:val="20"/>
                <w:szCs w:val="20"/>
              </w:rPr>
            </w:pPr>
          </w:p>
        </w:tc>
        <w:tc>
          <w:tcPr>
            <w:tcW w:w="222" w:type="dxa"/>
            <w:tcBorders>
              <w:top w:val="nil"/>
              <w:left w:val="nil"/>
              <w:bottom w:val="nil"/>
              <w:right w:val="nil"/>
            </w:tcBorders>
            <w:shd w:val="clear" w:color="auto" w:fill="auto"/>
            <w:noWrap/>
            <w:vAlign w:val="bottom"/>
            <w:hideMark/>
          </w:tcPr>
          <w:p w:rsidR="000D4813" w:rsidRDefault="000D4813">
            <w:pPr>
              <w:rPr>
                <w:sz w:val="20"/>
                <w:szCs w:val="20"/>
              </w:rPr>
            </w:pPr>
          </w:p>
        </w:tc>
        <w:tc>
          <w:tcPr>
            <w:tcW w:w="1816" w:type="dxa"/>
            <w:tcBorders>
              <w:top w:val="nil"/>
              <w:left w:val="nil"/>
              <w:bottom w:val="nil"/>
              <w:right w:val="nil"/>
            </w:tcBorders>
            <w:shd w:val="clear" w:color="auto" w:fill="auto"/>
            <w:noWrap/>
            <w:vAlign w:val="bottom"/>
            <w:hideMark/>
          </w:tcPr>
          <w:p w:rsidR="000D4813" w:rsidRDefault="000D4813">
            <w:pPr>
              <w:rPr>
                <w:sz w:val="20"/>
                <w:szCs w:val="20"/>
              </w:rPr>
            </w:pPr>
          </w:p>
        </w:tc>
      </w:tr>
      <w:tr w:rsidR="000D4813" w:rsidTr="000D4813">
        <w:trPr>
          <w:trHeight w:val="390"/>
        </w:trPr>
        <w:tc>
          <w:tcPr>
            <w:tcW w:w="5246" w:type="dxa"/>
            <w:tcBorders>
              <w:top w:val="nil"/>
              <w:left w:val="nil"/>
              <w:bottom w:val="nil"/>
              <w:right w:val="nil"/>
            </w:tcBorders>
            <w:shd w:val="clear" w:color="000000" w:fill="D9D9D9"/>
            <w:noWrap/>
            <w:vAlign w:val="bottom"/>
            <w:hideMark/>
          </w:tcPr>
          <w:p w:rsidR="000D4813" w:rsidRDefault="000D4813">
            <w:pPr>
              <w:rPr>
                <w:b/>
                <w:bCs/>
                <w:sz w:val="22"/>
                <w:szCs w:val="22"/>
              </w:rPr>
            </w:pPr>
            <w:r>
              <w:rPr>
                <w:b/>
                <w:bCs/>
                <w:sz w:val="22"/>
                <w:szCs w:val="22"/>
              </w:rPr>
              <w:t> </w:t>
            </w:r>
          </w:p>
        </w:tc>
        <w:tc>
          <w:tcPr>
            <w:tcW w:w="271" w:type="dxa"/>
            <w:tcBorders>
              <w:top w:val="nil"/>
              <w:left w:val="nil"/>
              <w:bottom w:val="nil"/>
              <w:right w:val="nil"/>
            </w:tcBorders>
            <w:shd w:val="clear" w:color="000000" w:fill="D9D9D9"/>
            <w:noWrap/>
            <w:vAlign w:val="bottom"/>
            <w:hideMark/>
          </w:tcPr>
          <w:p w:rsidR="000D4813" w:rsidRDefault="000D4813">
            <w:pPr>
              <w:rPr>
                <w:b/>
                <w:bCs/>
                <w:sz w:val="22"/>
                <w:szCs w:val="22"/>
              </w:rPr>
            </w:pPr>
            <w:r>
              <w:rPr>
                <w:b/>
                <w:bCs/>
                <w:sz w:val="22"/>
                <w:szCs w:val="22"/>
              </w:rPr>
              <w:t> </w:t>
            </w:r>
          </w:p>
        </w:tc>
        <w:tc>
          <w:tcPr>
            <w:tcW w:w="271" w:type="dxa"/>
            <w:tcBorders>
              <w:top w:val="nil"/>
              <w:left w:val="nil"/>
              <w:bottom w:val="nil"/>
              <w:right w:val="nil"/>
            </w:tcBorders>
            <w:shd w:val="clear" w:color="000000" w:fill="D9D9D9"/>
            <w:noWrap/>
            <w:vAlign w:val="bottom"/>
            <w:hideMark/>
          </w:tcPr>
          <w:p w:rsidR="000D4813" w:rsidRDefault="000D4813">
            <w:pPr>
              <w:jc w:val="right"/>
              <w:rPr>
                <w:b/>
                <w:bCs/>
                <w:color w:val="0000FF"/>
                <w:sz w:val="22"/>
                <w:szCs w:val="22"/>
              </w:rPr>
            </w:pPr>
            <w:r>
              <w:rPr>
                <w:b/>
                <w:bCs/>
                <w:color w:val="0000FF"/>
                <w:sz w:val="22"/>
                <w:szCs w:val="22"/>
              </w:rPr>
              <w:t> </w:t>
            </w:r>
          </w:p>
        </w:tc>
        <w:tc>
          <w:tcPr>
            <w:tcW w:w="3934" w:type="dxa"/>
            <w:gridSpan w:val="3"/>
            <w:tcBorders>
              <w:top w:val="nil"/>
              <w:left w:val="nil"/>
              <w:bottom w:val="nil"/>
              <w:right w:val="nil"/>
            </w:tcBorders>
            <w:shd w:val="clear" w:color="000000" w:fill="D9D9D9"/>
            <w:noWrap/>
            <w:vAlign w:val="bottom"/>
            <w:hideMark/>
          </w:tcPr>
          <w:p w:rsidR="000D4813" w:rsidRDefault="000D4813">
            <w:pPr>
              <w:jc w:val="center"/>
              <w:rPr>
                <w:b/>
                <w:bCs/>
                <w:sz w:val="22"/>
                <w:szCs w:val="22"/>
              </w:rPr>
            </w:pPr>
            <w:r>
              <w:rPr>
                <w:b/>
                <w:bCs/>
                <w:sz w:val="22"/>
                <w:szCs w:val="22"/>
              </w:rPr>
              <w:t>Εταιρεία</w:t>
            </w:r>
          </w:p>
        </w:tc>
      </w:tr>
      <w:tr w:rsidR="000D4813" w:rsidTr="000D4813">
        <w:trPr>
          <w:trHeight w:val="276"/>
        </w:trPr>
        <w:tc>
          <w:tcPr>
            <w:tcW w:w="5246" w:type="dxa"/>
            <w:tcBorders>
              <w:top w:val="nil"/>
              <w:left w:val="nil"/>
              <w:bottom w:val="nil"/>
              <w:right w:val="nil"/>
            </w:tcBorders>
            <w:shd w:val="clear" w:color="auto" w:fill="auto"/>
            <w:noWrap/>
            <w:vAlign w:val="bottom"/>
            <w:hideMark/>
          </w:tcPr>
          <w:p w:rsidR="000D4813" w:rsidRDefault="000D4813">
            <w:pPr>
              <w:rPr>
                <w:b/>
                <w:bCs/>
                <w:sz w:val="22"/>
                <w:szCs w:val="22"/>
                <w:u w:val="single"/>
              </w:rPr>
            </w:pPr>
            <w:r>
              <w:rPr>
                <w:b/>
                <w:bCs/>
                <w:sz w:val="22"/>
                <w:szCs w:val="22"/>
                <w:u w:val="single"/>
              </w:rPr>
              <w:t>Λειτουργικές δραστηριότητες</w:t>
            </w:r>
          </w:p>
        </w:tc>
        <w:tc>
          <w:tcPr>
            <w:tcW w:w="271" w:type="dxa"/>
            <w:tcBorders>
              <w:top w:val="nil"/>
              <w:left w:val="nil"/>
              <w:bottom w:val="nil"/>
              <w:right w:val="nil"/>
            </w:tcBorders>
            <w:shd w:val="clear" w:color="auto" w:fill="auto"/>
            <w:noWrap/>
            <w:vAlign w:val="bottom"/>
            <w:hideMark/>
          </w:tcPr>
          <w:p w:rsidR="000D4813" w:rsidRDefault="000D4813">
            <w:pPr>
              <w:rPr>
                <w:b/>
                <w:bCs/>
                <w:sz w:val="22"/>
                <w:szCs w:val="22"/>
                <w:u w:val="single"/>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jc w:val="center"/>
              <w:rPr>
                <w:b/>
                <w:bCs/>
                <w:sz w:val="22"/>
                <w:szCs w:val="22"/>
                <w:u w:val="double"/>
              </w:rPr>
            </w:pPr>
            <w:r>
              <w:rPr>
                <w:b/>
                <w:bCs/>
                <w:sz w:val="22"/>
                <w:szCs w:val="22"/>
                <w:u w:val="double"/>
              </w:rPr>
              <w:t>01.01.18-31.12.18</w:t>
            </w:r>
          </w:p>
        </w:tc>
        <w:tc>
          <w:tcPr>
            <w:tcW w:w="222" w:type="dxa"/>
            <w:tcBorders>
              <w:top w:val="nil"/>
              <w:left w:val="nil"/>
              <w:bottom w:val="nil"/>
              <w:right w:val="nil"/>
            </w:tcBorders>
            <w:shd w:val="clear" w:color="auto" w:fill="auto"/>
            <w:noWrap/>
            <w:vAlign w:val="bottom"/>
            <w:hideMark/>
          </w:tcPr>
          <w:p w:rsidR="000D4813" w:rsidRDefault="000D4813">
            <w:pPr>
              <w:jc w:val="center"/>
              <w:rPr>
                <w:b/>
                <w:bCs/>
                <w:sz w:val="22"/>
                <w:szCs w:val="22"/>
                <w:u w:val="double"/>
              </w:rPr>
            </w:pPr>
          </w:p>
        </w:tc>
        <w:tc>
          <w:tcPr>
            <w:tcW w:w="1816" w:type="dxa"/>
            <w:tcBorders>
              <w:top w:val="nil"/>
              <w:left w:val="nil"/>
              <w:bottom w:val="nil"/>
              <w:right w:val="nil"/>
            </w:tcBorders>
            <w:shd w:val="clear" w:color="auto" w:fill="auto"/>
            <w:noWrap/>
            <w:vAlign w:val="bottom"/>
            <w:hideMark/>
          </w:tcPr>
          <w:p w:rsidR="000D4813" w:rsidRDefault="000D4813">
            <w:pPr>
              <w:jc w:val="center"/>
              <w:rPr>
                <w:b/>
                <w:bCs/>
                <w:sz w:val="22"/>
                <w:szCs w:val="22"/>
                <w:u w:val="double"/>
              </w:rPr>
            </w:pPr>
            <w:r>
              <w:rPr>
                <w:b/>
                <w:bCs/>
                <w:sz w:val="22"/>
                <w:szCs w:val="22"/>
                <w:u w:val="double"/>
              </w:rPr>
              <w:t>01.01.17-31.12.17</w:t>
            </w: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rPr>
                <w:sz w:val="22"/>
                <w:szCs w:val="22"/>
              </w:rPr>
            </w:pPr>
            <w:r>
              <w:rPr>
                <w:sz w:val="22"/>
                <w:szCs w:val="22"/>
              </w:rPr>
              <w:t>Κέρδη προ φόρων</w:t>
            </w:r>
          </w:p>
        </w:tc>
        <w:tc>
          <w:tcPr>
            <w:tcW w:w="271" w:type="dxa"/>
            <w:tcBorders>
              <w:top w:val="nil"/>
              <w:left w:val="nil"/>
              <w:bottom w:val="nil"/>
              <w:right w:val="nil"/>
            </w:tcBorders>
            <w:shd w:val="clear" w:color="auto" w:fill="auto"/>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518.579,19 </w:t>
            </w:r>
          </w:p>
        </w:tc>
        <w:tc>
          <w:tcPr>
            <w:tcW w:w="222" w:type="dxa"/>
            <w:tcBorders>
              <w:top w:val="nil"/>
              <w:left w:val="nil"/>
              <w:bottom w:val="nil"/>
              <w:right w:val="nil"/>
            </w:tcBorders>
            <w:shd w:val="clear" w:color="auto" w:fill="auto"/>
            <w:noWrap/>
            <w:vAlign w:val="bottom"/>
            <w:hideMark/>
          </w:tcPr>
          <w:p w:rsidR="000D4813" w:rsidRDefault="000D4813">
            <w:pPr>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648.242,95</w:t>
            </w: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rPr>
                <w:b/>
                <w:bCs/>
                <w:i/>
                <w:iCs/>
                <w:sz w:val="22"/>
                <w:szCs w:val="22"/>
              </w:rPr>
            </w:pPr>
            <w:r>
              <w:rPr>
                <w:b/>
                <w:bCs/>
                <w:i/>
                <w:iCs/>
                <w:sz w:val="22"/>
                <w:szCs w:val="22"/>
              </w:rPr>
              <w:t>Πλέον / μειον  προσαρμογές για:</w:t>
            </w:r>
          </w:p>
        </w:tc>
        <w:tc>
          <w:tcPr>
            <w:tcW w:w="271" w:type="dxa"/>
            <w:tcBorders>
              <w:top w:val="nil"/>
              <w:left w:val="nil"/>
              <w:bottom w:val="nil"/>
              <w:right w:val="nil"/>
            </w:tcBorders>
            <w:shd w:val="clear" w:color="auto" w:fill="auto"/>
            <w:vAlign w:val="bottom"/>
            <w:hideMark/>
          </w:tcPr>
          <w:p w:rsidR="000D4813" w:rsidRDefault="000D4813">
            <w:pPr>
              <w:rPr>
                <w:b/>
                <w:bCs/>
                <w:i/>
                <w:iCs/>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0"/>
                <w:szCs w:val="20"/>
              </w:rPr>
            </w:pPr>
          </w:p>
        </w:tc>
        <w:tc>
          <w:tcPr>
            <w:tcW w:w="222" w:type="dxa"/>
            <w:tcBorders>
              <w:top w:val="nil"/>
              <w:left w:val="nil"/>
              <w:bottom w:val="nil"/>
              <w:right w:val="nil"/>
            </w:tcBorders>
            <w:shd w:val="clear" w:color="auto" w:fill="auto"/>
            <w:noWrap/>
            <w:vAlign w:val="bottom"/>
            <w:hideMark/>
          </w:tcPr>
          <w:p w:rsidR="000D4813" w:rsidRDefault="000D4813">
            <w:pPr>
              <w:rPr>
                <w:sz w:val="20"/>
                <w:szCs w:val="20"/>
              </w:rPr>
            </w:pPr>
          </w:p>
        </w:tc>
        <w:tc>
          <w:tcPr>
            <w:tcW w:w="1816" w:type="dxa"/>
            <w:tcBorders>
              <w:top w:val="nil"/>
              <w:left w:val="nil"/>
              <w:bottom w:val="nil"/>
              <w:right w:val="nil"/>
            </w:tcBorders>
            <w:shd w:val="clear" w:color="auto" w:fill="auto"/>
            <w:noWrap/>
            <w:vAlign w:val="bottom"/>
            <w:hideMark/>
          </w:tcPr>
          <w:p w:rsidR="000D4813" w:rsidRDefault="000D4813">
            <w:pPr>
              <w:rPr>
                <w:sz w:val="20"/>
                <w:szCs w:val="20"/>
              </w:rPr>
            </w:pP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rPr>
                <w:sz w:val="22"/>
                <w:szCs w:val="22"/>
              </w:rPr>
            </w:pPr>
            <w:r>
              <w:rPr>
                <w:sz w:val="22"/>
                <w:szCs w:val="22"/>
              </w:rPr>
              <w:t xml:space="preserve">Αποσβέσεις </w:t>
            </w:r>
          </w:p>
        </w:tc>
        <w:tc>
          <w:tcPr>
            <w:tcW w:w="271" w:type="dxa"/>
            <w:tcBorders>
              <w:top w:val="nil"/>
              <w:left w:val="nil"/>
              <w:bottom w:val="nil"/>
              <w:right w:val="nil"/>
            </w:tcBorders>
            <w:shd w:val="clear" w:color="auto" w:fill="auto"/>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313.434,88</w:t>
            </w:r>
          </w:p>
        </w:tc>
        <w:tc>
          <w:tcPr>
            <w:tcW w:w="222" w:type="dxa"/>
            <w:tcBorders>
              <w:top w:val="nil"/>
              <w:left w:val="nil"/>
              <w:bottom w:val="nil"/>
              <w:right w:val="nil"/>
            </w:tcBorders>
            <w:shd w:val="clear" w:color="auto" w:fill="auto"/>
            <w:noWrap/>
            <w:vAlign w:val="bottom"/>
            <w:hideMark/>
          </w:tcPr>
          <w:p w:rsidR="000D4813" w:rsidRDefault="000D4813">
            <w:pPr>
              <w:jc w:val="right"/>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282.138,72</w:t>
            </w: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rPr>
                <w:sz w:val="22"/>
                <w:szCs w:val="22"/>
              </w:rPr>
            </w:pPr>
            <w:r>
              <w:rPr>
                <w:sz w:val="22"/>
                <w:szCs w:val="22"/>
              </w:rPr>
              <w:t>Προβλέψεις</w:t>
            </w:r>
          </w:p>
        </w:tc>
        <w:tc>
          <w:tcPr>
            <w:tcW w:w="271" w:type="dxa"/>
            <w:tcBorders>
              <w:top w:val="nil"/>
              <w:left w:val="nil"/>
              <w:bottom w:val="nil"/>
              <w:right w:val="nil"/>
            </w:tcBorders>
            <w:shd w:val="clear" w:color="auto" w:fill="auto"/>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5.726,52</w:t>
            </w:r>
          </w:p>
        </w:tc>
        <w:tc>
          <w:tcPr>
            <w:tcW w:w="222" w:type="dxa"/>
            <w:tcBorders>
              <w:top w:val="nil"/>
              <w:left w:val="nil"/>
              <w:bottom w:val="nil"/>
              <w:right w:val="nil"/>
            </w:tcBorders>
            <w:shd w:val="clear" w:color="auto" w:fill="auto"/>
            <w:noWrap/>
            <w:vAlign w:val="bottom"/>
            <w:hideMark/>
          </w:tcPr>
          <w:p w:rsidR="000D4813" w:rsidRDefault="000D4813">
            <w:pPr>
              <w:jc w:val="right"/>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15.535,53</w:t>
            </w: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rPr>
                <w:sz w:val="22"/>
                <w:szCs w:val="22"/>
              </w:rPr>
            </w:pPr>
            <w:r>
              <w:rPr>
                <w:sz w:val="22"/>
                <w:szCs w:val="22"/>
              </w:rPr>
              <w:t>Αποτελέσματα (έσοδα, έξοδα, κέρδη και ζημίες) επενδυτικής δραστηριότητας:</w:t>
            </w:r>
          </w:p>
        </w:tc>
        <w:tc>
          <w:tcPr>
            <w:tcW w:w="271" w:type="dxa"/>
            <w:tcBorders>
              <w:top w:val="nil"/>
              <w:left w:val="nil"/>
              <w:bottom w:val="nil"/>
              <w:right w:val="nil"/>
            </w:tcBorders>
            <w:shd w:val="clear" w:color="auto" w:fill="auto"/>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(62.611,41)</w:t>
            </w:r>
          </w:p>
        </w:tc>
        <w:tc>
          <w:tcPr>
            <w:tcW w:w="222" w:type="dxa"/>
            <w:tcBorders>
              <w:top w:val="nil"/>
              <w:left w:val="nil"/>
              <w:bottom w:val="nil"/>
              <w:right w:val="nil"/>
            </w:tcBorders>
            <w:shd w:val="clear" w:color="auto" w:fill="auto"/>
            <w:noWrap/>
            <w:vAlign w:val="bottom"/>
            <w:hideMark/>
          </w:tcPr>
          <w:p w:rsidR="000D4813" w:rsidRDefault="000D4813">
            <w:pPr>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(33.990,08)</w:t>
            </w: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rPr>
                <w:sz w:val="22"/>
                <w:szCs w:val="22"/>
              </w:rPr>
            </w:pPr>
            <w:r>
              <w:rPr>
                <w:sz w:val="22"/>
                <w:szCs w:val="22"/>
              </w:rPr>
              <w:t>Χρεωστικοί τόκοι και συναφή έξοδα</w:t>
            </w:r>
          </w:p>
        </w:tc>
        <w:tc>
          <w:tcPr>
            <w:tcW w:w="271" w:type="dxa"/>
            <w:tcBorders>
              <w:top w:val="nil"/>
              <w:left w:val="nil"/>
              <w:bottom w:val="nil"/>
              <w:right w:val="nil"/>
            </w:tcBorders>
            <w:shd w:val="clear" w:color="auto" w:fill="auto"/>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single" w:sz="4" w:space="0" w:color="auto"/>
              <w:right w:val="nil"/>
            </w:tcBorders>
            <w:shd w:val="clear" w:color="auto" w:fill="auto"/>
            <w:noWrap/>
            <w:vAlign w:val="bottom"/>
            <w:hideMark/>
          </w:tcPr>
          <w:p w:rsidR="000D4813" w:rsidRDefault="000D4813">
            <w:pPr>
              <w:jc w:val="right"/>
              <w:rPr>
                <w:sz w:val="22"/>
                <w:szCs w:val="22"/>
              </w:rPr>
            </w:pPr>
            <w:r>
              <w:rPr>
                <w:sz w:val="22"/>
                <w:szCs w:val="22"/>
              </w:rPr>
              <w:t>1.508,08</w:t>
            </w:r>
          </w:p>
        </w:tc>
        <w:tc>
          <w:tcPr>
            <w:tcW w:w="222" w:type="dxa"/>
            <w:tcBorders>
              <w:top w:val="nil"/>
              <w:left w:val="nil"/>
              <w:bottom w:val="nil"/>
              <w:right w:val="nil"/>
            </w:tcBorders>
            <w:shd w:val="clear" w:color="auto" w:fill="auto"/>
            <w:noWrap/>
            <w:vAlign w:val="bottom"/>
            <w:hideMark/>
          </w:tcPr>
          <w:p w:rsidR="000D4813" w:rsidRDefault="000D4813">
            <w:pPr>
              <w:jc w:val="right"/>
              <w:rPr>
                <w:sz w:val="22"/>
                <w:szCs w:val="22"/>
              </w:rPr>
            </w:pPr>
          </w:p>
        </w:tc>
        <w:tc>
          <w:tcPr>
            <w:tcW w:w="1816" w:type="dxa"/>
            <w:tcBorders>
              <w:top w:val="nil"/>
              <w:left w:val="nil"/>
              <w:bottom w:val="single" w:sz="4" w:space="0" w:color="auto"/>
              <w:right w:val="nil"/>
            </w:tcBorders>
            <w:shd w:val="clear" w:color="auto" w:fill="auto"/>
            <w:noWrap/>
            <w:vAlign w:val="bottom"/>
            <w:hideMark/>
          </w:tcPr>
          <w:p w:rsidR="000D4813" w:rsidRDefault="000D4813">
            <w:pPr>
              <w:jc w:val="right"/>
              <w:rPr>
                <w:sz w:val="22"/>
                <w:szCs w:val="22"/>
              </w:rPr>
            </w:pPr>
            <w:r>
              <w:rPr>
                <w:sz w:val="22"/>
                <w:szCs w:val="22"/>
              </w:rPr>
              <w:t>1.135,37</w:t>
            </w: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jc w:val="right"/>
              <w:rPr>
                <w:b/>
                <w:bCs/>
                <w:sz w:val="22"/>
                <w:szCs w:val="22"/>
              </w:rPr>
            </w:pPr>
            <w:r>
              <w:rPr>
                <w:b/>
                <w:bCs/>
                <w:sz w:val="22"/>
                <w:szCs w:val="22"/>
              </w:rPr>
              <w:t>Λειτουργικό κέρδος προ μεταβολών του κεφαλαίου κίνησης</w:t>
            </w:r>
          </w:p>
        </w:tc>
        <w:tc>
          <w:tcPr>
            <w:tcW w:w="271" w:type="dxa"/>
            <w:tcBorders>
              <w:top w:val="nil"/>
              <w:left w:val="nil"/>
              <w:bottom w:val="nil"/>
              <w:right w:val="nil"/>
            </w:tcBorders>
            <w:shd w:val="clear" w:color="auto" w:fill="auto"/>
            <w:vAlign w:val="bottom"/>
            <w:hideMark/>
          </w:tcPr>
          <w:p w:rsidR="000D4813" w:rsidRDefault="000D4813">
            <w:pPr>
              <w:jc w:val="right"/>
              <w:rPr>
                <w:b/>
                <w:bCs/>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jc w:val="right"/>
              <w:rPr>
                <w:b/>
                <w:bCs/>
                <w:sz w:val="22"/>
                <w:szCs w:val="22"/>
              </w:rPr>
            </w:pPr>
            <w:r>
              <w:rPr>
                <w:b/>
                <w:bCs/>
                <w:sz w:val="22"/>
                <w:szCs w:val="22"/>
              </w:rPr>
              <w:t>776.637,26</w:t>
            </w:r>
          </w:p>
        </w:tc>
        <w:tc>
          <w:tcPr>
            <w:tcW w:w="222" w:type="dxa"/>
            <w:tcBorders>
              <w:top w:val="nil"/>
              <w:left w:val="nil"/>
              <w:bottom w:val="nil"/>
              <w:right w:val="nil"/>
            </w:tcBorders>
            <w:shd w:val="clear" w:color="auto" w:fill="auto"/>
            <w:noWrap/>
            <w:vAlign w:val="bottom"/>
            <w:hideMark/>
          </w:tcPr>
          <w:p w:rsidR="000D4813" w:rsidRDefault="000D4813">
            <w:pPr>
              <w:jc w:val="right"/>
              <w:rPr>
                <w:b/>
                <w:bCs/>
                <w:sz w:val="22"/>
                <w:szCs w:val="22"/>
              </w:rPr>
            </w:pPr>
          </w:p>
        </w:tc>
        <w:tc>
          <w:tcPr>
            <w:tcW w:w="1816" w:type="dxa"/>
            <w:tcBorders>
              <w:top w:val="nil"/>
              <w:left w:val="nil"/>
              <w:bottom w:val="nil"/>
              <w:right w:val="nil"/>
            </w:tcBorders>
            <w:shd w:val="clear" w:color="auto" w:fill="auto"/>
            <w:noWrap/>
            <w:vAlign w:val="bottom"/>
            <w:hideMark/>
          </w:tcPr>
          <w:p w:rsidR="000D4813" w:rsidRDefault="000D4813">
            <w:pPr>
              <w:jc w:val="right"/>
              <w:rPr>
                <w:b/>
                <w:bCs/>
                <w:sz w:val="22"/>
                <w:szCs w:val="22"/>
              </w:rPr>
            </w:pPr>
            <w:r>
              <w:rPr>
                <w:b/>
                <w:bCs/>
                <w:sz w:val="22"/>
                <w:szCs w:val="22"/>
              </w:rPr>
              <w:t>913.062,49</w:t>
            </w:r>
          </w:p>
        </w:tc>
      </w:tr>
      <w:tr w:rsidR="000D4813" w:rsidTr="000D4813">
        <w:trPr>
          <w:trHeight w:val="576"/>
        </w:trPr>
        <w:tc>
          <w:tcPr>
            <w:tcW w:w="5246" w:type="dxa"/>
            <w:tcBorders>
              <w:top w:val="nil"/>
              <w:left w:val="nil"/>
              <w:bottom w:val="nil"/>
              <w:right w:val="nil"/>
            </w:tcBorders>
            <w:shd w:val="clear" w:color="auto" w:fill="auto"/>
            <w:vAlign w:val="bottom"/>
            <w:hideMark/>
          </w:tcPr>
          <w:p w:rsidR="000D4813" w:rsidRDefault="000D4813">
            <w:pPr>
              <w:rPr>
                <w:b/>
                <w:bCs/>
                <w:i/>
                <w:iCs/>
                <w:sz w:val="22"/>
                <w:szCs w:val="22"/>
              </w:rPr>
            </w:pPr>
            <w:r>
              <w:rPr>
                <w:b/>
                <w:bCs/>
                <w:i/>
                <w:iCs/>
                <w:sz w:val="22"/>
                <w:szCs w:val="22"/>
              </w:rPr>
              <w:t>Πλέον / μειον  προσαρμογές για μεταβολές λογαριασμών κεφαλαίου κίνησης ή που σχετίζονται με τις λειτουργικές δραστηριότητες:</w:t>
            </w:r>
          </w:p>
        </w:tc>
        <w:tc>
          <w:tcPr>
            <w:tcW w:w="271" w:type="dxa"/>
            <w:tcBorders>
              <w:top w:val="nil"/>
              <w:left w:val="nil"/>
              <w:bottom w:val="nil"/>
              <w:right w:val="nil"/>
            </w:tcBorders>
            <w:shd w:val="clear" w:color="auto" w:fill="auto"/>
            <w:vAlign w:val="bottom"/>
            <w:hideMark/>
          </w:tcPr>
          <w:p w:rsidR="000D4813" w:rsidRDefault="000D4813">
            <w:pPr>
              <w:rPr>
                <w:b/>
                <w:bCs/>
                <w:i/>
                <w:iCs/>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0"/>
                <w:szCs w:val="20"/>
              </w:rPr>
            </w:pPr>
          </w:p>
        </w:tc>
        <w:tc>
          <w:tcPr>
            <w:tcW w:w="222" w:type="dxa"/>
            <w:tcBorders>
              <w:top w:val="nil"/>
              <w:left w:val="nil"/>
              <w:bottom w:val="nil"/>
              <w:right w:val="nil"/>
            </w:tcBorders>
            <w:shd w:val="clear" w:color="auto" w:fill="auto"/>
            <w:noWrap/>
            <w:vAlign w:val="bottom"/>
            <w:hideMark/>
          </w:tcPr>
          <w:p w:rsidR="000D4813" w:rsidRDefault="000D4813">
            <w:pPr>
              <w:rPr>
                <w:sz w:val="20"/>
                <w:szCs w:val="20"/>
              </w:rPr>
            </w:pPr>
          </w:p>
        </w:tc>
        <w:tc>
          <w:tcPr>
            <w:tcW w:w="1816" w:type="dxa"/>
            <w:tcBorders>
              <w:top w:val="nil"/>
              <w:left w:val="nil"/>
              <w:bottom w:val="nil"/>
              <w:right w:val="nil"/>
            </w:tcBorders>
            <w:shd w:val="clear" w:color="auto" w:fill="auto"/>
            <w:noWrap/>
            <w:vAlign w:val="bottom"/>
            <w:hideMark/>
          </w:tcPr>
          <w:p w:rsidR="000D4813" w:rsidRDefault="000D4813">
            <w:pPr>
              <w:rPr>
                <w:sz w:val="20"/>
                <w:szCs w:val="20"/>
              </w:rPr>
            </w:pP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rPr>
                <w:sz w:val="22"/>
                <w:szCs w:val="22"/>
              </w:rPr>
            </w:pPr>
            <w:r>
              <w:rPr>
                <w:sz w:val="22"/>
                <w:szCs w:val="22"/>
              </w:rPr>
              <w:t>Μείωση /( αύξηση ) αποθεμάτων</w:t>
            </w:r>
          </w:p>
        </w:tc>
        <w:tc>
          <w:tcPr>
            <w:tcW w:w="271" w:type="dxa"/>
            <w:tcBorders>
              <w:top w:val="nil"/>
              <w:left w:val="nil"/>
              <w:bottom w:val="nil"/>
              <w:right w:val="nil"/>
            </w:tcBorders>
            <w:shd w:val="clear" w:color="auto" w:fill="auto"/>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-73.256,81</w:t>
            </w:r>
          </w:p>
        </w:tc>
        <w:tc>
          <w:tcPr>
            <w:tcW w:w="222" w:type="dxa"/>
            <w:tcBorders>
              <w:top w:val="nil"/>
              <w:left w:val="nil"/>
              <w:bottom w:val="nil"/>
              <w:right w:val="nil"/>
            </w:tcBorders>
            <w:shd w:val="clear" w:color="auto" w:fill="auto"/>
            <w:noWrap/>
            <w:vAlign w:val="bottom"/>
            <w:hideMark/>
          </w:tcPr>
          <w:p w:rsidR="000D4813" w:rsidRDefault="000D4813">
            <w:pPr>
              <w:jc w:val="right"/>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35.964,69</w:t>
            </w: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rPr>
                <w:sz w:val="22"/>
                <w:szCs w:val="22"/>
              </w:rPr>
            </w:pPr>
            <w:r>
              <w:rPr>
                <w:sz w:val="22"/>
                <w:szCs w:val="22"/>
              </w:rPr>
              <w:t>Μείωση /( αύξηση ) απαιτήσεων</w:t>
            </w:r>
          </w:p>
        </w:tc>
        <w:tc>
          <w:tcPr>
            <w:tcW w:w="271" w:type="dxa"/>
            <w:tcBorders>
              <w:top w:val="nil"/>
              <w:left w:val="nil"/>
              <w:bottom w:val="nil"/>
              <w:right w:val="nil"/>
            </w:tcBorders>
            <w:shd w:val="clear" w:color="auto" w:fill="auto"/>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172.958,31 </w:t>
            </w:r>
          </w:p>
        </w:tc>
        <w:tc>
          <w:tcPr>
            <w:tcW w:w="222" w:type="dxa"/>
            <w:tcBorders>
              <w:top w:val="nil"/>
              <w:left w:val="nil"/>
              <w:bottom w:val="nil"/>
              <w:right w:val="nil"/>
            </w:tcBorders>
            <w:shd w:val="clear" w:color="auto" w:fill="auto"/>
            <w:noWrap/>
            <w:vAlign w:val="bottom"/>
            <w:hideMark/>
          </w:tcPr>
          <w:p w:rsidR="000D4813" w:rsidRDefault="000D4813">
            <w:pPr>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(10.309,83)</w:t>
            </w: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rPr>
                <w:sz w:val="22"/>
                <w:szCs w:val="22"/>
              </w:rPr>
            </w:pPr>
            <w:r>
              <w:rPr>
                <w:sz w:val="22"/>
                <w:szCs w:val="22"/>
              </w:rPr>
              <w:t>(Μείωση) / αύξηση υποχρεώσεων (πλην τραπεζών)</w:t>
            </w:r>
          </w:p>
        </w:tc>
        <w:tc>
          <w:tcPr>
            <w:tcW w:w="271" w:type="dxa"/>
            <w:tcBorders>
              <w:top w:val="nil"/>
              <w:left w:val="nil"/>
              <w:bottom w:val="nil"/>
              <w:right w:val="nil"/>
            </w:tcBorders>
            <w:shd w:val="clear" w:color="auto" w:fill="auto"/>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(189.285,48)</w:t>
            </w:r>
          </w:p>
        </w:tc>
        <w:tc>
          <w:tcPr>
            <w:tcW w:w="222" w:type="dxa"/>
            <w:tcBorders>
              <w:top w:val="nil"/>
              <w:left w:val="nil"/>
              <w:bottom w:val="nil"/>
              <w:right w:val="nil"/>
            </w:tcBorders>
            <w:shd w:val="clear" w:color="auto" w:fill="auto"/>
            <w:noWrap/>
            <w:vAlign w:val="bottom"/>
            <w:hideMark/>
          </w:tcPr>
          <w:p w:rsidR="000D4813" w:rsidRDefault="000D4813">
            <w:pPr>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(309.150,57)</w:t>
            </w: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rPr>
                <w:sz w:val="22"/>
                <w:szCs w:val="22"/>
              </w:rPr>
            </w:pPr>
            <w:r>
              <w:rPr>
                <w:sz w:val="22"/>
                <w:szCs w:val="22"/>
              </w:rPr>
              <w:t>Μείον:</w:t>
            </w:r>
          </w:p>
        </w:tc>
        <w:tc>
          <w:tcPr>
            <w:tcW w:w="271" w:type="dxa"/>
            <w:tcBorders>
              <w:top w:val="nil"/>
              <w:left w:val="nil"/>
              <w:bottom w:val="nil"/>
              <w:right w:val="nil"/>
            </w:tcBorders>
            <w:shd w:val="clear" w:color="auto" w:fill="auto"/>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0"/>
                <w:szCs w:val="20"/>
              </w:rPr>
            </w:pPr>
          </w:p>
        </w:tc>
        <w:tc>
          <w:tcPr>
            <w:tcW w:w="222" w:type="dxa"/>
            <w:tcBorders>
              <w:top w:val="nil"/>
              <w:left w:val="nil"/>
              <w:bottom w:val="nil"/>
              <w:right w:val="nil"/>
            </w:tcBorders>
            <w:shd w:val="clear" w:color="auto" w:fill="auto"/>
            <w:noWrap/>
            <w:vAlign w:val="bottom"/>
            <w:hideMark/>
          </w:tcPr>
          <w:p w:rsidR="000D4813" w:rsidRDefault="000D4813">
            <w:pPr>
              <w:rPr>
                <w:sz w:val="20"/>
                <w:szCs w:val="20"/>
              </w:rPr>
            </w:pPr>
          </w:p>
        </w:tc>
        <w:tc>
          <w:tcPr>
            <w:tcW w:w="1816" w:type="dxa"/>
            <w:tcBorders>
              <w:top w:val="nil"/>
              <w:left w:val="nil"/>
              <w:bottom w:val="nil"/>
              <w:right w:val="nil"/>
            </w:tcBorders>
            <w:shd w:val="clear" w:color="auto" w:fill="auto"/>
            <w:noWrap/>
            <w:vAlign w:val="bottom"/>
            <w:hideMark/>
          </w:tcPr>
          <w:p w:rsidR="000D4813" w:rsidRDefault="000D4813">
            <w:pPr>
              <w:rPr>
                <w:sz w:val="20"/>
                <w:szCs w:val="20"/>
              </w:rPr>
            </w:pP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rPr>
                <w:sz w:val="22"/>
                <w:szCs w:val="22"/>
              </w:rPr>
            </w:pPr>
            <w:r>
              <w:rPr>
                <w:sz w:val="22"/>
                <w:szCs w:val="22"/>
              </w:rPr>
              <w:t>Τόκοι πληρωθέντες</w:t>
            </w:r>
          </w:p>
        </w:tc>
        <w:tc>
          <w:tcPr>
            <w:tcW w:w="271" w:type="dxa"/>
            <w:tcBorders>
              <w:top w:val="nil"/>
              <w:left w:val="nil"/>
              <w:bottom w:val="nil"/>
              <w:right w:val="nil"/>
            </w:tcBorders>
            <w:shd w:val="clear" w:color="auto" w:fill="auto"/>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1.508,08</w:t>
            </w:r>
          </w:p>
        </w:tc>
        <w:tc>
          <w:tcPr>
            <w:tcW w:w="222" w:type="dxa"/>
            <w:tcBorders>
              <w:top w:val="nil"/>
              <w:left w:val="nil"/>
              <w:bottom w:val="nil"/>
              <w:right w:val="nil"/>
            </w:tcBorders>
            <w:shd w:val="clear" w:color="auto" w:fill="auto"/>
            <w:noWrap/>
            <w:vAlign w:val="bottom"/>
            <w:hideMark/>
          </w:tcPr>
          <w:p w:rsidR="000D4813" w:rsidRDefault="000D4813">
            <w:pPr>
              <w:jc w:val="right"/>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1.135,37</w:t>
            </w: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rPr>
                <w:sz w:val="22"/>
                <w:szCs w:val="22"/>
              </w:rPr>
            </w:pPr>
            <w:r>
              <w:rPr>
                <w:sz w:val="22"/>
                <w:szCs w:val="22"/>
              </w:rPr>
              <w:t>Καταβεβλημένοι φόροι</w:t>
            </w:r>
          </w:p>
        </w:tc>
        <w:tc>
          <w:tcPr>
            <w:tcW w:w="271" w:type="dxa"/>
            <w:tcBorders>
              <w:top w:val="nil"/>
              <w:left w:val="nil"/>
              <w:bottom w:val="nil"/>
              <w:right w:val="nil"/>
            </w:tcBorders>
            <w:shd w:val="clear" w:color="auto" w:fill="auto"/>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0,00</w:t>
            </w:r>
          </w:p>
        </w:tc>
        <w:tc>
          <w:tcPr>
            <w:tcW w:w="222" w:type="dxa"/>
            <w:tcBorders>
              <w:top w:val="nil"/>
              <w:left w:val="nil"/>
              <w:bottom w:val="nil"/>
              <w:right w:val="nil"/>
            </w:tcBorders>
            <w:shd w:val="clear" w:color="auto" w:fill="auto"/>
            <w:noWrap/>
            <w:vAlign w:val="bottom"/>
            <w:hideMark/>
          </w:tcPr>
          <w:p w:rsidR="000D4813" w:rsidRDefault="000D4813">
            <w:pPr>
              <w:jc w:val="right"/>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106.136,60</w:t>
            </w:r>
          </w:p>
        </w:tc>
      </w:tr>
      <w:tr w:rsidR="000D4813" w:rsidTr="000D4813">
        <w:trPr>
          <w:trHeight w:val="360"/>
        </w:trPr>
        <w:tc>
          <w:tcPr>
            <w:tcW w:w="5246" w:type="dxa"/>
            <w:tcBorders>
              <w:top w:val="nil"/>
              <w:left w:val="nil"/>
              <w:bottom w:val="nil"/>
              <w:right w:val="nil"/>
            </w:tcBorders>
            <w:shd w:val="clear" w:color="auto" w:fill="auto"/>
            <w:vAlign w:val="bottom"/>
            <w:hideMark/>
          </w:tcPr>
          <w:p w:rsidR="000D4813" w:rsidRDefault="000D4813">
            <w:pPr>
              <w:jc w:val="right"/>
              <w:rPr>
                <w:b/>
                <w:bCs/>
                <w:sz w:val="22"/>
                <w:szCs w:val="22"/>
              </w:rPr>
            </w:pPr>
            <w:r>
              <w:rPr>
                <w:b/>
                <w:bCs/>
                <w:sz w:val="22"/>
                <w:szCs w:val="22"/>
              </w:rPr>
              <w:t>Σύνολο εισροών / (εκροών) από λειτουργικές δραστηριότητες (α)</w:t>
            </w:r>
          </w:p>
        </w:tc>
        <w:tc>
          <w:tcPr>
            <w:tcW w:w="271" w:type="dxa"/>
            <w:tcBorders>
              <w:top w:val="nil"/>
              <w:left w:val="nil"/>
              <w:bottom w:val="nil"/>
              <w:right w:val="nil"/>
            </w:tcBorders>
            <w:shd w:val="clear" w:color="auto" w:fill="auto"/>
            <w:vAlign w:val="bottom"/>
            <w:hideMark/>
          </w:tcPr>
          <w:p w:rsidR="000D4813" w:rsidRDefault="000D4813">
            <w:pPr>
              <w:jc w:val="right"/>
              <w:rPr>
                <w:b/>
                <w:bCs/>
                <w:sz w:val="22"/>
                <w:szCs w:val="22"/>
              </w:rPr>
            </w:pPr>
          </w:p>
        </w:tc>
        <w:tc>
          <w:tcPr>
            <w:tcW w:w="271" w:type="dxa"/>
            <w:tcBorders>
              <w:top w:val="nil"/>
              <w:left w:val="nil"/>
              <w:bottom w:val="nil"/>
              <w:right w:val="nil"/>
            </w:tcBorders>
            <w:shd w:val="clear" w:color="auto" w:fill="auto"/>
            <w:noWrap/>
            <w:vAlign w:val="bottom"/>
            <w:hideMark/>
          </w:tcPr>
          <w:p w:rsidR="000D4813" w:rsidRDefault="000D4813">
            <w:pPr>
              <w:jc w:val="right"/>
              <w:rPr>
                <w:sz w:val="20"/>
                <w:szCs w:val="20"/>
              </w:rPr>
            </w:pPr>
          </w:p>
        </w:tc>
        <w:tc>
          <w:tcPr>
            <w:tcW w:w="1896"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rPr>
                <w:b/>
                <w:bCs/>
                <w:sz w:val="22"/>
                <w:szCs w:val="22"/>
              </w:rPr>
            </w:pPr>
            <w:r>
              <w:rPr>
                <w:b/>
                <w:bCs/>
                <w:sz w:val="22"/>
                <w:szCs w:val="22"/>
              </w:rPr>
              <w:t>685.545,20</w:t>
            </w:r>
          </w:p>
        </w:tc>
        <w:tc>
          <w:tcPr>
            <w:tcW w:w="222" w:type="dxa"/>
            <w:tcBorders>
              <w:top w:val="nil"/>
              <w:left w:val="nil"/>
              <w:bottom w:val="nil"/>
              <w:right w:val="nil"/>
            </w:tcBorders>
            <w:shd w:val="clear" w:color="auto" w:fill="auto"/>
            <w:noWrap/>
            <w:vAlign w:val="bottom"/>
            <w:hideMark/>
          </w:tcPr>
          <w:p w:rsidR="000D4813" w:rsidRDefault="000D4813">
            <w:pPr>
              <w:jc w:val="right"/>
              <w:rPr>
                <w:b/>
                <w:bCs/>
                <w:sz w:val="22"/>
                <w:szCs w:val="22"/>
              </w:rPr>
            </w:pPr>
          </w:p>
        </w:tc>
        <w:tc>
          <w:tcPr>
            <w:tcW w:w="1816"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rPr>
                <w:b/>
                <w:bCs/>
                <w:sz w:val="22"/>
                <w:szCs w:val="22"/>
              </w:rPr>
            </w:pPr>
            <w:r>
              <w:rPr>
                <w:b/>
                <w:bCs/>
                <w:sz w:val="22"/>
                <w:szCs w:val="22"/>
              </w:rPr>
              <w:t>522.294,81</w:t>
            </w: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jc w:val="right"/>
              <w:rPr>
                <w:b/>
                <w:bCs/>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0"/>
                <w:szCs w:val="20"/>
              </w:rPr>
            </w:pPr>
          </w:p>
        </w:tc>
        <w:tc>
          <w:tcPr>
            <w:tcW w:w="222" w:type="dxa"/>
            <w:tcBorders>
              <w:top w:val="nil"/>
              <w:left w:val="nil"/>
              <w:bottom w:val="nil"/>
              <w:right w:val="nil"/>
            </w:tcBorders>
            <w:shd w:val="clear" w:color="auto" w:fill="auto"/>
            <w:noWrap/>
            <w:vAlign w:val="bottom"/>
            <w:hideMark/>
          </w:tcPr>
          <w:p w:rsidR="000D4813" w:rsidRDefault="000D4813">
            <w:pPr>
              <w:rPr>
                <w:sz w:val="20"/>
                <w:szCs w:val="20"/>
              </w:rPr>
            </w:pPr>
          </w:p>
        </w:tc>
        <w:tc>
          <w:tcPr>
            <w:tcW w:w="1816" w:type="dxa"/>
            <w:tcBorders>
              <w:top w:val="nil"/>
              <w:left w:val="nil"/>
              <w:bottom w:val="nil"/>
              <w:right w:val="nil"/>
            </w:tcBorders>
            <w:shd w:val="clear" w:color="auto" w:fill="auto"/>
            <w:noWrap/>
            <w:vAlign w:val="bottom"/>
            <w:hideMark/>
          </w:tcPr>
          <w:p w:rsidR="000D4813" w:rsidRDefault="000D4813">
            <w:pPr>
              <w:rPr>
                <w:sz w:val="20"/>
                <w:szCs w:val="20"/>
              </w:rPr>
            </w:pP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b/>
                <w:bCs/>
                <w:sz w:val="22"/>
                <w:szCs w:val="22"/>
                <w:u w:val="single"/>
              </w:rPr>
            </w:pPr>
            <w:r>
              <w:rPr>
                <w:b/>
                <w:bCs/>
                <w:sz w:val="22"/>
                <w:szCs w:val="22"/>
                <w:u w:val="single"/>
              </w:rPr>
              <w:t>Επενδυτικές δραστηριότητες</w:t>
            </w:r>
          </w:p>
        </w:tc>
        <w:tc>
          <w:tcPr>
            <w:tcW w:w="271" w:type="dxa"/>
            <w:tcBorders>
              <w:top w:val="nil"/>
              <w:left w:val="nil"/>
              <w:bottom w:val="nil"/>
              <w:right w:val="nil"/>
            </w:tcBorders>
            <w:shd w:val="clear" w:color="auto" w:fill="auto"/>
            <w:noWrap/>
            <w:vAlign w:val="bottom"/>
            <w:hideMark/>
          </w:tcPr>
          <w:p w:rsidR="000D4813" w:rsidRDefault="000D4813">
            <w:pPr>
              <w:rPr>
                <w:b/>
                <w:bCs/>
                <w:sz w:val="22"/>
                <w:szCs w:val="22"/>
                <w:u w:val="single"/>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0"/>
                <w:szCs w:val="20"/>
              </w:rPr>
            </w:pPr>
          </w:p>
        </w:tc>
        <w:tc>
          <w:tcPr>
            <w:tcW w:w="222" w:type="dxa"/>
            <w:tcBorders>
              <w:top w:val="nil"/>
              <w:left w:val="nil"/>
              <w:bottom w:val="nil"/>
              <w:right w:val="nil"/>
            </w:tcBorders>
            <w:shd w:val="clear" w:color="auto" w:fill="auto"/>
            <w:noWrap/>
            <w:vAlign w:val="bottom"/>
            <w:hideMark/>
          </w:tcPr>
          <w:p w:rsidR="000D4813" w:rsidRDefault="000D4813">
            <w:pPr>
              <w:rPr>
                <w:sz w:val="20"/>
                <w:szCs w:val="20"/>
              </w:rPr>
            </w:pPr>
          </w:p>
        </w:tc>
        <w:tc>
          <w:tcPr>
            <w:tcW w:w="1816" w:type="dxa"/>
            <w:tcBorders>
              <w:top w:val="nil"/>
              <w:left w:val="nil"/>
              <w:bottom w:val="nil"/>
              <w:right w:val="nil"/>
            </w:tcBorders>
            <w:shd w:val="clear" w:color="auto" w:fill="auto"/>
            <w:noWrap/>
            <w:vAlign w:val="bottom"/>
            <w:hideMark/>
          </w:tcPr>
          <w:p w:rsidR="000D4813" w:rsidRDefault="000D4813">
            <w:pPr>
              <w:rPr>
                <w:sz w:val="20"/>
                <w:szCs w:val="20"/>
              </w:rPr>
            </w:pP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Αγορά ενσώματων και άϋλων παγίων περιουσιακών στοιχείων</w:t>
            </w:r>
          </w:p>
        </w:tc>
        <w:tc>
          <w:tcPr>
            <w:tcW w:w="271" w:type="dxa"/>
            <w:tcBorders>
              <w:top w:val="nil"/>
              <w:left w:val="nil"/>
              <w:bottom w:val="nil"/>
              <w:right w:val="nil"/>
            </w:tcBorders>
            <w:shd w:val="clear" w:color="auto" w:fill="auto"/>
            <w:noWrap/>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(127.466,12)</w:t>
            </w:r>
          </w:p>
        </w:tc>
        <w:tc>
          <w:tcPr>
            <w:tcW w:w="222" w:type="dxa"/>
            <w:tcBorders>
              <w:top w:val="nil"/>
              <w:left w:val="nil"/>
              <w:bottom w:val="nil"/>
              <w:right w:val="nil"/>
            </w:tcBorders>
            <w:shd w:val="clear" w:color="auto" w:fill="auto"/>
            <w:noWrap/>
            <w:vAlign w:val="bottom"/>
            <w:hideMark/>
          </w:tcPr>
          <w:p w:rsidR="000D4813" w:rsidRDefault="000D4813">
            <w:pPr>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(75.421,22)</w:t>
            </w: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Εισπράξεις από πωλήσεις ενσώματων και άυλων παγίων</w:t>
            </w:r>
          </w:p>
        </w:tc>
        <w:tc>
          <w:tcPr>
            <w:tcW w:w="271" w:type="dxa"/>
            <w:tcBorders>
              <w:top w:val="nil"/>
              <w:left w:val="nil"/>
              <w:bottom w:val="nil"/>
              <w:right w:val="nil"/>
            </w:tcBorders>
            <w:shd w:val="clear" w:color="auto" w:fill="auto"/>
            <w:noWrap/>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76.741,01</w:t>
            </w:r>
          </w:p>
        </w:tc>
        <w:tc>
          <w:tcPr>
            <w:tcW w:w="222" w:type="dxa"/>
            <w:tcBorders>
              <w:top w:val="nil"/>
              <w:left w:val="nil"/>
              <w:bottom w:val="nil"/>
              <w:right w:val="nil"/>
            </w:tcBorders>
            <w:shd w:val="clear" w:color="auto" w:fill="auto"/>
            <w:noWrap/>
            <w:vAlign w:val="bottom"/>
            <w:hideMark/>
          </w:tcPr>
          <w:p w:rsidR="000D4813" w:rsidRDefault="000D4813">
            <w:pPr>
              <w:jc w:val="right"/>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7.420,00</w:t>
            </w: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Τόκοι εισπραχθέντες</w:t>
            </w:r>
          </w:p>
        </w:tc>
        <w:tc>
          <w:tcPr>
            <w:tcW w:w="271" w:type="dxa"/>
            <w:tcBorders>
              <w:top w:val="nil"/>
              <w:left w:val="nil"/>
              <w:bottom w:val="nil"/>
              <w:right w:val="nil"/>
            </w:tcBorders>
            <w:shd w:val="clear" w:color="auto" w:fill="auto"/>
            <w:noWrap/>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single" w:sz="4" w:space="0" w:color="auto"/>
              <w:right w:val="nil"/>
            </w:tcBorders>
            <w:shd w:val="clear" w:color="auto" w:fill="auto"/>
            <w:noWrap/>
            <w:vAlign w:val="bottom"/>
            <w:hideMark/>
          </w:tcPr>
          <w:p w:rsidR="000D4813" w:rsidRDefault="000D4813">
            <w:pPr>
              <w:jc w:val="right"/>
              <w:rPr>
                <w:sz w:val="22"/>
                <w:szCs w:val="22"/>
              </w:rPr>
            </w:pPr>
            <w:r>
              <w:rPr>
                <w:sz w:val="22"/>
                <w:szCs w:val="22"/>
              </w:rPr>
              <w:t>703,66</w:t>
            </w:r>
          </w:p>
        </w:tc>
        <w:tc>
          <w:tcPr>
            <w:tcW w:w="222" w:type="dxa"/>
            <w:tcBorders>
              <w:top w:val="nil"/>
              <w:left w:val="nil"/>
              <w:bottom w:val="nil"/>
              <w:right w:val="nil"/>
            </w:tcBorders>
            <w:shd w:val="clear" w:color="auto" w:fill="auto"/>
            <w:noWrap/>
            <w:vAlign w:val="bottom"/>
            <w:hideMark/>
          </w:tcPr>
          <w:p w:rsidR="000D4813" w:rsidRDefault="000D4813">
            <w:pPr>
              <w:jc w:val="right"/>
              <w:rPr>
                <w:sz w:val="22"/>
                <w:szCs w:val="22"/>
              </w:rPr>
            </w:pPr>
          </w:p>
        </w:tc>
        <w:tc>
          <w:tcPr>
            <w:tcW w:w="1816" w:type="dxa"/>
            <w:tcBorders>
              <w:top w:val="nil"/>
              <w:left w:val="nil"/>
              <w:bottom w:val="single" w:sz="4" w:space="0" w:color="auto"/>
              <w:right w:val="nil"/>
            </w:tcBorders>
            <w:shd w:val="clear" w:color="auto" w:fill="auto"/>
            <w:noWrap/>
            <w:vAlign w:val="bottom"/>
            <w:hideMark/>
          </w:tcPr>
          <w:p w:rsidR="000D4813" w:rsidRDefault="000D4813">
            <w:pPr>
              <w:jc w:val="right"/>
              <w:rPr>
                <w:sz w:val="22"/>
                <w:szCs w:val="22"/>
              </w:rPr>
            </w:pPr>
            <w:r>
              <w:rPr>
                <w:sz w:val="22"/>
                <w:szCs w:val="22"/>
              </w:rPr>
              <w:t>175,89</w:t>
            </w: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jc w:val="right"/>
              <w:rPr>
                <w:b/>
                <w:bCs/>
                <w:sz w:val="22"/>
                <w:szCs w:val="22"/>
              </w:rPr>
            </w:pPr>
            <w:r>
              <w:rPr>
                <w:b/>
                <w:bCs/>
                <w:sz w:val="22"/>
                <w:szCs w:val="22"/>
              </w:rPr>
              <w:t>Σύνολο εισροών / (εκροών) από επενδυτικές δραστηριότητες (β)</w:t>
            </w:r>
          </w:p>
        </w:tc>
        <w:tc>
          <w:tcPr>
            <w:tcW w:w="271" w:type="dxa"/>
            <w:tcBorders>
              <w:top w:val="nil"/>
              <w:left w:val="nil"/>
              <w:bottom w:val="nil"/>
              <w:right w:val="nil"/>
            </w:tcBorders>
            <w:shd w:val="clear" w:color="auto" w:fill="auto"/>
            <w:noWrap/>
            <w:vAlign w:val="bottom"/>
            <w:hideMark/>
          </w:tcPr>
          <w:p w:rsidR="000D4813" w:rsidRDefault="000D4813">
            <w:pPr>
              <w:jc w:val="right"/>
              <w:rPr>
                <w:b/>
                <w:bCs/>
                <w:sz w:val="22"/>
                <w:szCs w:val="22"/>
              </w:rPr>
            </w:pPr>
          </w:p>
        </w:tc>
        <w:tc>
          <w:tcPr>
            <w:tcW w:w="271" w:type="dxa"/>
            <w:tcBorders>
              <w:top w:val="nil"/>
              <w:left w:val="nil"/>
              <w:bottom w:val="nil"/>
              <w:right w:val="nil"/>
            </w:tcBorders>
            <w:shd w:val="clear" w:color="auto" w:fill="auto"/>
            <w:noWrap/>
            <w:vAlign w:val="bottom"/>
            <w:hideMark/>
          </w:tcPr>
          <w:p w:rsidR="000D4813" w:rsidRDefault="000D4813">
            <w:pPr>
              <w:jc w:val="right"/>
              <w:rPr>
                <w:sz w:val="20"/>
                <w:szCs w:val="20"/>
              </w:rPr>
            </w:pPr>
          </w:p>
        </w:tc>
        <w:tc>
          <w:tcPr>
            <w:tcW w:w="1896" w:type="dxa"/>
            <w:tcBorders>
              <w:top w:val="nil"/>
              <w:left w:val="nil"/>
              <w:bottom w:val="double" w:sz="6" w:space="0" w:color="auto"/>
              <w:right w:val="nil"/>
            </w:tcBorders>
            <w:shd w:val="clear" w:color="auto" w:fill="auto"/>
            <w:noWrap/>
            <w:vAlign w:val="bottom"/>
            <w:hideMark/>
          </w:tcPr>
          <w:p w:rsidR="000D4813" w:rsidRDefault="000D4813">
            <w:pPr>
              <w:rPr>
                <w:b/>
                <w:bCs/>
                <w:sz w:val="22"/>
                <w:szCs w:val="22"/>
              </w:rPr>
            </w:pPr>
            <w:r>
              <w:rPr>
                <w:b/>
                <w:bCs/>
                <w:sz w:val="22"/>
                <w:szCs w:val="22"/>
              </w:rPr>
              <w:t xml:space="preserve">             (50.021,45)</w:t>
            </w:r>
          </w:p>
        </w:tc>
        <w:tc>
          <w:tcPr>
            <w:tcW w:w="222" w:type="dxa"/>
            <w:tcBorders>
              <w:top w:val="nil"/>
              <w:left w:val="nil"/>
              <w:bottom w:val="nil"/>
              <w:right w:val="nil"/>
            </w:tcBorders>
            <w:shd w:val="clear" w:color="auto" w:fill="auto"/>
            <w:noWrap/>
            <w:vAlign w:val="bottom"/>
            <w:hideMark/>
          </w:tcPr>
          <w:p w:rsidR="000D4813" w:rsidRDefault="000D4813">
            <w:pPr>
              <w:rPr>
                <w:b/>
                <w:bCs/>
                <w:sz w:val="22"/>
                <w:szCs w:val="22"/>
              </w:rPr>
            </w:pPr>
          </w:p>
        </w:tc>
        <w:tc>
          <w:tcPr>
            <w:tcW w:w="1816" w:type="dxa"/>
            <w:tcBorders>
              <w:top w:val="nil"/>
              <w:left w:val="nil"/>
              <w:bottom w:val="double" w:sz="6" w:space="0" w:color="auto"/>
              <w:right w:val="nil"/>
            </w:tcBorders>
            <w:shd w:val="clear" w:color="auto" w:fill="auto"/>
            <w:noWrap/>
            <w:vAlign w:val="bottom"/>
            <w:hideMark/>
          </w:tcPr>
          <w:p w:rsidR="000D4813" w:rsidRDefault="000D4813">
            <w:pPr>
              <w:rPr>
                <w:b/>
                <w:bCs/>
                <w:sz w:val="22"/>
                <w:szCs w:val="22"/>
              </w:rPr>
            </w:pPr>
            <w:r>
              <w:rPr>
                <w:b/>
                <w:bCs/>
                <w:sz w:val="22"/>
                <w:szCs w:val="22"/>
              </w:rPr>
              <w:t xml:space="preserve">           (67.825,33)</w:t>
            </w: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b/>
                <w:bCs/>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0"/>
                <w:szCs w:val="20"/>
              </w:rPr>
            </w:pPr>
          </w:p>
        </w:tc>
        <w:tc>
          <w:tcPr>
            <w:tcW w:w="222" w:type="dxa"/>
            <w:tcBorders>
              <w:top w:val="nil"/>
              <w:left w:val="nil"/>
              <w:bottom w:val="nil"/>
              <w:right w:val="nil"/>
            </w:tcBorders>
            <w:shd w:val="clear" w:color="auto" w:fill="auto"/>
            <w:noWrap/>
            <w:vAlign w:val="bottom"/>
            <w:hideMark/>
          </w:tcPr>
          <w:p w:rsidR="000D4813" w:rsidRDefault="000D4813">
            <w:pPr>
              <w:rPr>
                <w:sz w:val="20"/>
                <w:szCs w:val="20"/>
              </w:rPr>
            </w:pPr>
          </w:p>
        </w:tc>
        <w:tc>
          <w:tcPr>
            <w:tcW w:w="1816" w:type="dxa"/>
            <w:tcBorders>
              <w:top w:val="nil"/>
              <w:left w:val="nil"/>
              <w:bottom w:val="nil"/>
              <w:right w:val="nil"/>
            </w:tcBorders>
            <w:shd w:val="clear" w:color="auto" w:fill="auto"/>
            <w:noWrap/>
            <w:vAlign w:val="bottom"/>
            <w:hideMark/>
          </w:tcPr>
          <w:p w:rsidR="000D4813" w:rsidRDefault="000D4813">
            <w:pPr>
              <w:rPr>
                <w:sz w:val="20"/>
                <w:szCs w:val="20"/>
              </w:rPr>
            </w:pP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b/>
                <w:bCs/>
                <w:sz w:val="22"/>
                <w:szCs w:val="22"/>
                <w:u w:val="single"/>
              </w:rPr>
            </w:pPr>
            <w:r>
              <w:rPr>
                <w:b/>
                <w:bCs/>
                <w:sz w:val="22"/>
                <w:szCs w:val="22"/>
                <w:u w:val="single"/>
              </w:rPr>
              <w:t>Χρηματοδοτικές δραστηριότητες</w:t>
            </w:r>
          </w:p>
        </w:tc>
        <w:tc>
          <w:tcPr>
            <w:tcW w:w="271" w:type="dxa"/>
            <w:tcBorders>
              <w:top w:val="nil"/>
              <w:left w:val="nil"/>
              <w:bottom w:val="nil"/>
              <w:right w:val="nil"/>
            </w:tcBorders>
            <w:shd w:val="clear" w:color="auto" w:fill="auto"/>
            <w:noWrap/>
            <w:vAlign w:val="bottom"/>
            <w:hideMark/>
          </w:tcPr>
          <w:p w:rsidR="000D4813" w:rsidRDefault="000D4813">
            <w:pPr>
              <w:rPr>
                <w:b/>
                <w:bCs/>
                <w:sz w:val="22"/>
                <w:szCs w:val="22"/>
                <w:u w:val="single"/>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0"/>
                <w:szCs w:val="20"/>
              </w:rPr>
            </w:pPr>
          </w:p>
        </w:tc>
        <w:tc>
          <w:tcPr>
            <w:tcW w:w="222" w:type="dxa"/>
            <w:tcBorders>
              <w:top w:val="nil"/>
              <w:left w:val="nil"/>
              <w:bottom w:val="nil"/>
              <w:right w:val="nil"/>
            </w:tcBorders>
            <w:shd w:val="clear" w:color="auto" w:fill="auto"/>
            <w:noWrap/>
            <w:vAlign w:val="bottom"/>
            <w:hideMark/>
          </w:tcPr>
          <w:p w:rsidR="000D4813" w:rsidRDefault="000D4813">
            <w:pPr>
              <w:rPr>
                <w:sz w:val="20"/>
                <w:szCs w:val="20"/>
              </w:rPr>
            </w:pPr>
          </w:p>
        </w:tc>
        <w:tc>
          <w:tcPr>
            <w:tcW w:w="1816" w:type="dxa"/>
            <w:tcBorders>
              <w:top w:val="nil"/>
              <w:left w:val="nil"/>
              <w:bottom w:val="nil"/>
              <w:right w:val="nil"/>
            </w:tcBorders>
            <w:shd w:val="clear" w:color="auto" w:fill="auto"/>
            <w:noWrap/>
            <w:vAlign w:val="bottom"/>
            <w:hideMark/>
          </w:tcPr>
          <w:p w:rsidR="000D4813" w:rsidRDefault="000D4813">
            <w:pPr>
              <w:rPr>
                <w:sz w:val="20"/>
                <w:szCs w:val="20"/>
              </w:rPr>
            </w:pP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Καθαρή μεταβολή βραχυπρόθεσμων δανείων</w:t>
            </w:r>
          </w:p>
        </w:tc>
        <w:tc>
          <w:tcPr>
            <w:tcW w:w="271" w:type="dxa"/>
            <w:tcBorders>
              <w:top w:val="nil"/>
              <w:left w:val="nil"/>
              <w:bottom w:val="nil"/>
              <w:right w:val="nil"/>
            </w:tcBorders>
            <w:shd w:val="clear" w:color="auto" w:fill="auto"/>
            <w:noWrap/>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(2.040,94)</w:t>
            </w:r>
          </w:p>
        </w:tc>
        <w:tc>
          <w:tcPr>
            <w:tcW w:w="222" w:type="dxa"/>
            <w:tcBorders>
              <w:top w:val="nil"/>
              <w:left w:val="nil"/>
              <w:bottom w:val="nil"/>
              <w:right w:val="nil"/>
            </w:tcBorders>
            <w:shd w:val="clear" w:color="auto" w:fill="auto"/>
            <w:noWrap/>
            <w:vAlign w:val="bottom"/>
            <w:hideMark/>
          </w:tcPr>
          <w:p w:rsidR="000D4813" w:rsidRDefault="000D4813">
            <w:pPr>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(49.659,77)</w:t>
            </w: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Είσπραξη κρατικών επιχορηγήσεων</w:t>
            </w:r>
          </w:p>
        </w:tc>
        <w:tc>
          <w:tcPr>
            <w:tcW w:w="271" w:type="dxa"/>
            <w:tcBorders>
              <w:top w:val="nil"/>
              <w:left w:val="nil"/>
              <w:bottom w:val="nil"/>
              <w:right w:val="nil"/>
            </w:tcBorders>
            <w:shd w:val="clear" w:color="auto" w:fill="auto"/>
            <w:noWrap/>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0,00</w:t>
            </w:r>
          </w:p>
        </w:tc>
        <w:tc>
          <w:tcPr>
            <w:tcW w:w="222" w:type="dxa"/>
            <w:tcBorders>
              <w:top w:val="nil"/>
              <w:left w:val="nil"/>
              <w:bottom w:val="nil"/>
              <w:right w:val="nil"/>
            </w:tcBorders>
            <w:shd w:val="clear" w:color="auto" w:fill="auto"/>
            <w:noWrap/>
            <w:vAlign w:val="bottom"/>
            <w:hideMark/>
          </w:tcPr>
          <w:p w:rsidR="000D4813" w:rsidRDefault="000D4813">
            <w:pPr>
              <w:jc w:val="right"/>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jc w:val="right"/>
              <w:rPr>
                <w:sz w:val="22"/>
                <w:szCs w:val="22"/>
              </w:rPr>
            </w:pPr>
            <w:r>
              <w:rPr>
                <w:sz w:val="22"/>
                <w:szCs w:val="22"/>
              </w:rPr>
              <w:t>0,00</w:t>
            </w: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Μερίσματα πληρωθέντα</w:t>
            </w:r>
          </w:p>
        </w:tc>
        <w:tc>
          <w:tcPr>
            <w:tcW w:w="271" w:type="dxa"/>
            <w:tcBorders>
              <w:top w:val="nil"/>
              <w:left w:val="nil"/>
              <w:bottom w:val="nil"/>
              <w:right w:val="nil"/>
            </w:tcBorders>
            <w:shd w:val="clear" w:color="auto" w:fill="auto"/>
            <w:noWrap/>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(390.000,00)</w:t>
            </w:r>
          </w:p>
        </w:tc>
        <w:tc>
          <w:tcPr>
            <w:tcW w:w="222" w:type="dxa"/>
            <w:tcBorders>
              <w:top w:val="nil"/>
              <w:left w:val="nil"/>
              <w:bottom w:val="nil"/>
              <w:right w:val="nil"/>
            </w:tcBorders>
            <w:shd w:val="clear" w:color="auto" w:fill="auto"/>
            <w:noWrap/>
            <w:vAlign w:val="bottom"/>
            <w:hideMark/>
          </w:tcPr>
          <w:p w:rsidR="000D4813" w:rsidRDefault="000D4813">
            <w:pPr>
              <w:rPr>
                <w:sz w:val="22"/>
                <w:szCs w:val="22"/>
              </w:rPr>
            </w:pPr>
          </w:p>
        </w:tc>
        <w:tc>
          <w:tcPr>
            <w:tcW w:w="181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 xml:space="preserve">         (500.000,00)</w:t>
            </w: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jc w:val="right"/>
              <w:rPr>
                <w:b/>
                <w:bCs/>
                <w:sz w:val="22"/>
                <w:szCs w:val="22"/>
              </w:rPr>
            </w:pPr>
            <w:r>
              <w:rPr>
                <w:b/>
                <w:bCs/>
                <w:sz w:val="22"/>
                <w:szCs w:val="22"/>
              </w:rPr>
              <w:t>Σύνολο εισροών / (εκροών) από χρηματοδοτικές δραστηριότητες (γ)</w:t>
            </w:r>
          </w:p>
        </w:tc>
        <w:tc>
          <w:tcPr>
            <w:tcW w:w="271" w:type="dxa"/>
            <w:tcBorders>
              <w:top w:val="nil"/>
              <w:left w:val="nil"/>
              <w:bottom w:val="nil"/>
              <w:right w:val="nil"/>
            </w:tcBorders>
            <w:shd w:val="clear" w:color="auto" w:fill="auto"/>
            <w:noWrap/>
            <w:vAlign w:val="bottom"/>
            <w:hideMark/>
          </w:tcPr>
          <w:p w:rsidR="000D4813" w:rsidRDefault="000D4813">
            <w:pPr>
              <w:jc w:val="right"/>
              <w:rPr>
                <w:b/>
                <w:bCs/>
                <w:sz w:val="22"/>
                <w:szCs w:val="22"/>
              </w:rPr>
            </w:pPr>
          </w:p>
        </w:tc>
        <w:tc>
          <w:tcPr>
            <w:tcW w:w="271" w:type="dxa"/>
            <w:tcBorders>
              <w:top w:val="nil"/>
              <w:left w:val="nil"/>
              <w:bottom w:val="nil"/>
              <w:right w:val="nil"/>
            </w:tcBorders>
            <w:shd w:val="clear" w:color="auto" w:fill="auto"/>
            <w:noWrap/>
            <w:vAlign w:val="bottom"/>
            <w:hideMark/>
          </w:tcPr>
          <w:p w:rsidR="000D4813" w:rsidRDefault="000D4813">
            <w:pPr>
              <w:jc w:val="right"/>
              <w:rPr>
                <w:sz w:val="20"/>
                <w:szCs w:val="20"/>
              </w:rPr>
            </w:pPr>
          </w:p>
        </w:tc>
        <w:tc>
          <w:tcPr>
            <w:tcW w:w="1896" w:type="dxa"/>
            <w:tcBorders>
              <w:top w:val="single" w:sz="4" w:space="0" w:color="auto"/>
              <w:left w:val="nil"/>
              <w:bottom w:val="double" w:sz="6" w:space="0" w:color="auto"/>
              <w:right w:val="nil"/>
            </w:tcBorders>
            <w:shd w:val="clear" w:color="auto" w:fill="auto"/>
            <w:noWrap/>
            <w:vAlign w:val="bottom"/>
            <w:hideMark/>
          </w:tcPr>
          <w:p w:rsidR="000D4813" w:rsidRDefault="000D4813">
            <w:pPr>
              <w:rPr>
                <w:b/>
                <w:bCs/>
                <w:sz w:val="22"/>
                <w:szCs w:val="22"/>
              </w:rPr>
            </w:pPr>
            <w:r>
              <w:rPr>
                <w:b/>
                <w:bCs/>
                <w:sz w:val="22"/>
                <w:szCs w:val="22"/>
              </w:rPr>
              <w:t xml:space="preserve">           (392.040,94)</w:t>
            </w:r>
          </w:p>
        </w:tc>
        <w:tc>
          <w:tcPr>
            <w:tcW w:w="222" w:type="dxa"/>
            <w:tcBorders>
              <w:top w:val="nil"/>
              <w:left w:val="nil"/>
              <w:bottom w:val="nil"/>
              <w:right w:val="nil"/>
            </w:tcBorders>
            <w:shd w:val="clear" w:color="auto" w:fill="auto"/>
            <w:noWrap/>
            <w:vAlign w:val="bottom"/>
            <w:hideMark/>
          </w:tcPr>
          <w:p w:rsidR="000D4813" w:rsidRDefault="000D4813">
            <w:pPr>
              <w:rPr>
                <w:b/>
                <w:bCs/>
                <w:sz w:val="22"/>
                <w:szCs w:val="22"/>
              </w:rPr>
            </w:pPr>
          </w:p>
        </w:tc>
        <w:tc>
          <w:tcPr>
            <w:tcW w:w="1816" w:type="dxa"/>
            <w:tcBorders>
              <w:top w:val="single" w:sz="4" w:space="0" w:color="auto"/>
              <w:left w:val="nil"/>
              <w:bottom w:val="double" w:sz="6" w:space="0" w:color="auto"/>
              <w:right w:val="nil"/>
            </w:tcBorders>
            <w:shd w:val="clear" w:color="auto" w:fill="auto"/>
            <w:noWrap/>
            <w:vAlign w:val="bottom"/>
            <w:hideMark/>
          </w:tcPr>
          <w:p w:rsidR="000D4813" w:rsidRDefault="000D4813">
            <w:pPr>
              <w:rPr>
                <w:b/>
                <w:bCs/>
                <w:sz w:val="22"/>
                <w:szCs w:val="22"/>
              </w:rPr>
            </w:pPr>
            <w:r>
              <w:rPr>
                <w:b/>
                <w:bCs/>
                <w:sz w:val="22"/>
                <w:szCs w:val="22"/>
              </w:rPr>
              <w:t xml:space="preserve">         (549.659,77)</w:t>
            </w: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b/>
                <w:bCs/>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0"/>
                <w:szCs w:val="20"/>
              </w:rPr>
            </w:pPr>
          </w:p>
        </w:tc>
        <w:tc>
          <w:tcPr>
            <w:tcW w:w="222" w:type="dxa"/>
            <w:tcBorders>
              <w:top w:val="nil"/>
              <w:left w:val="nil"/>
              <w:bottom w:val="nil"/>
              <w:right w:val="nil"/>
            </w:tcBorders>
            <w:shd w:val="clear" w:color="auto" w:fill="auto"/>
            <w:noWrap/>
            <w:vAlign w:val="bottom"/>
            <w:hideMark/>
          </w:tcPr>
          <w:p w:rsidR="000D4813" w:rsidRDefault="000D4813">
            <w:pPr>
              <w:rPr>
                <w:sz w:val="20"/>
                <w:szCs w:val="20"/>
              </w:rPr>
            </w:pPr>
          </w:p>
        </w:tc>
        <w:tc>
          <w:tcPr>
            <w:tcW w:w="1816" w:type="dxa"/>
            <w:tcBorders>
              <w:top w:val="nil"/>
              <w:left w:val="nil"/>
              <w:bottom w:val="nil"/>
              <w:right w:val="nil"/>
            </w:tcBorders>
            <w:shd w:val="clear" w:color="auto" w:fill="auto"/>
            <w:noWrap/>
            <w:vAlign w:val="bottom"/>
            <w:hideMark/>
          </w:tcPr>
          <w:p w:rsidR="000D4813" w:rsidRDefault="000D4813">
            <w:pPr>
              <w:rPr>
                <w:sz w:val="20"/>
                <w:szCs w:val="20"/>
              </w:rPr>
            </w:pPr>
          </w:p>
        </w:tc>
      </w:tr>
      <w:tr w:rsidR="000D4813" w:rsidTr="000D4813">
        <w:trPr>
          <w:trHeight w:val="564"/>
        </w:trPr>
        <w:tc>
          <w:tcPr>
            <w:tcW w:w="5246" w:type="dxa"/>
            <w:tcBorders>
              <w:top w:val="nil"/>
              <w:left w:val="nil"/>
              <w:bottom w:val="nil"/>
              <w:right w:val="nil"/>
            </w:tcBorders>
            <w:shd w:val="clear" w:color="auto" w:fill="auto"/>
            <w:vAlign w:val="bottom"/>
            <w:hideMark/>
          </w:tcPr>
          <w:p w:rsidR="000D4813" w:rsidRDefault="000D4813">
            <w:pPr>
              <w:rPr>
                <w:b/>
                <w:bCs/>
                <w:sz w:val="22"/>
                <w:szCs w:val="22"/>
              </w:rPr>
            </w:pPr>
            <w:r>
              <w:rPr>
                <w:b/>
                <w:bCs/>
                <w:sz w:val="22"/>
                <w:szCs w:val="22"/>
              </w:rPr>
              <w:t>Καθαρή αύξηση (μείωση) στα ταμειακά διαθέσιμα από ισοδύναμα περιόδου (α) + (β) + (γ)</w:t>
            </w:r>
          </w:p>
        </w:tc>
        <w:tc>
          <w:tcPr>
            <w:tcW w:w="271" w:type="dxa"/>
            <w:tcBorders>
              <w:top w:val="nil"/>
              <w:left w:val="nil"/>
              <w:bottom w:val="nil"/>
              <w:right w:val="nil"/>
            </w:tcBorders>
            <w:shd w:val="clear" w:color="auto" w:fill="auto"/>
            <w:vAlign w:val="bottom"/>
            <w:hideMark/>
          </w:tcPr>
          <w:p w:rsidR="000D4813" w:rsidRDefault="000D4813">
            <w:pPr>
              <w:rPr>
                <w:b/>
                <w:bCs/>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b/>
                <w:bCs/>
                <w:sz w:val="22"/>
                <w:szCs w:val="22"/>
              </w:rPr>
            </w:pPr>
            <w:r>
              <w:rPr>
                <w:b/>
                <w:bCs/>
                <w:sz w:val="22"/>
                <w:szCs w:val="22"/>
              </w:rPr>
              <w:t xml:space="preserve">            243.482,81 </w:t>
            </w:r>
          </w:p>
        </w:tc>
        <w:tc>
          <w:tcPr>
            <w:tcW w:w="222" w:type="dxa"/>
            <w:tcBorders>
              <w:top w:val="nil"/>
              <w:left w:val="nil"/>
              <w:bottom w:val="nil"/>
              <w:right w:val="nil"/>
            </w:tcBorders>
            <w:shd w:val="clear" w:color="auto" w:fill="auto"/>
            <w:noWrap/>
            <w:vAlign w:val="bottom"/>
            <w:hideMark/>
          </w:tcPr>
          <w:p w:rsidR="000D4813" w:rsidRDefault="000D4813">
            <w:pPr>
              <w:rPr>
                <w:b/>
                <w:bCs/>
                <w:sz w:val="22"/>
                <w:szCs w:val="22"/>
              </w:rPr>
            </w:pPr>
          </w:p>
        </w:tc>
        <w:tc>
          <w:tcPr>
            <w:tcW w:w="1816" w:type="dxa"/>
            <w:tcBorders>
              <w:top w:val="nil"/>
              <w:left w:val="nil"/>
              <w:bottom w:val="nil"/>
              <w:right w:val="nil"/>
            </w:tcBorders>
            <w:shd w:val="clear" w:color="auto" w:fill="auto"/>
            <w:noWrap/>
            <w:vAlign w:val="bottom"/>
            <w:hideMark/>
          </w:tcPr>
          <w:p w:rsidR="000D4813" w:rsidRDefault="000D4813">
            <w:pPr>
              <w:rPr>
                <w:b/>
                <w:bCs/>
                <w:sz w:val="22"/>
                <w:szCs w:val="22"/>
              </w:rPr>
            </w:pPr>
            <w:r>
              <w:rPr>
                <w:b/>
                <w:bCs/>
                <w:sz w:val="22"/>
                <w:szCs w:val="22"/>
              </w:rPr>
              <w:t xml:space="preserve">           (95.190,29)</w:t>
            </w: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b/>
                <w:bCs/>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rPr>
                <w:sz w:val="20"/>
                <w:szCs w:val="20"/>
              </w:rPr>
            </w:pPr>
          </w:p>
        </w:tc>
        <w:tc>
          <w:tcPr>
            <w:tcW w:w="222" w:type="dxa"/>
            <w:tcBorders>
              <w:top w:val="nil"/>
              <w:left w:val="nil"/>
              <w:bottom w:val="nil"/>
              <w:right w:val="nil"/>
            </w:tcBorders>
            <w:shd w:val="clear" w:color="auto" w:fill="auto"/>
            <w:noWrap/>
            <w:vAlign w:val="bottom"/>
            <w:hideMark/>
          </w:tcPr>
          <w:p w:rsidR="000D4813" w:rsidRDefault="000D4813">
            <w:pPr>
              <w:rPr>
                <w:sz w:val="20"/>
                <w:szCs w:val="20"/>
              </w:rPr>
            </w:pPr>
          </w:p>
        </w:tc>
        <w:tc>
          <w:tcPr>
            <w:tcW w:w="1816" w:type="dxa"/>
            <w:tcBorders>
              <w:top w:val="nil"/>
              <w:left w:val="nil"/>
              <w:bottom w:val="nil"/>
              <w:right w:val="nil"/>
            </w:tcBorders>
            <w:shd w:val="clear" w:color="auto" w:fill="auto"/>
            <w:noWrap/>
            <w:vAlign w:val="bottom"/>
            <w:hideMark/>
          </w:tcPr>
          <w:p w:rsidR="000D4813" w:rsidRDefault="000D4813">
            <w:pPr>
              <w:rPr>
                <w:sz w:val="20"/>
                <w:szCs w:val="20"/>
              </w:rPr>
            </w:pP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Ταμειακά διαθέσιμα και ισοδύναμα έναρξης περιόδου</w:t>
            </w:r>
          </w:p>
        </w:tc>
        <w:tc>
          <w:tcPr>
            <w:tcW w:w="271" w:type="dxa"/>
            <w:tcBorders>
              <w:top w:val="nil"/>
              <w:left w:val="nil"/>
              <w:bottom w:val="nil"/>
              <w:right w:val="nil"/>
            </w:tcBorders>
            <w:shd w:val="clear" w:color="auto" w:fill="auto"/>
            <w:noWrap/>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nil"/>
              <w:left w:val="nil"/>
              <w:bottom w:val="nil"/>
              <w:right w:val="nil"/>
            </w:tcBorders>
            <w:shd w:val="clear" w:color="auto" w:fill="auto"/>
            <w:noWrap/>
            <w:vAlign w:val="bottom"/>
            <w:hideMark/>
          </w:tcPr>
          <w:p w:rsidR="000D4813" w:rsidRDefault="000D4813">
            <w:pPr>
              <w:jc w:val="right"/>
              <w:rPr>
                <w:b/>
                <w:bCs/>
                <w:sz w:val="22"/>
                <w:szCs w:val="22"/>
              </w:rPr>
            </w:pPr>
            <w:r>
              <w:rPr>
                <w:b/>
                <w:bCs/>
                <w:sz w:val="22"/>
                <w:szCs w:val="22"/>
              </w:rPr>
              <w:t>867.468,74</w:t>
            </w:r>
          </w:p>
        </w:tc>
        <w:tc>
          <w:tcPr>
            <w:tcW w:w="222" w:type="dxa"/>
            <w:tcBorders>
              <w:top w:val="nil"/>
              <w:left w:val="nil"/>
              <w:bottom w:val="nil"/>
              <w:right w:val="nil"/>
            </w:tcBorders>
            <w:shd w:val="clear" w:color="auto" w:fill="auto"/>
            <w:noWrap/>
            <w:vAlign w:val="bottom"/>
            <w:hideMark/>
          </w:tcPr>
          <w:p w:rsidR="000D4813" w:rsidRDefault="000D4813">
            <w:pPr>
              <w:jc w:val="right"/>
              <w:rPr>
                <w:b/>
                <w:bCs/>
                <w:sz w:val="22"/>
                <w:szCs w:val="22"/>
              </w:rPr>
            </w:pPr>
          </w:p>
        </w:tc>
        <w:tc>
          <w:tcPr>
            <w:tcW w:w="1816" w:type="dxa"/>
            <w:tcBorders>
              <w:top w:val="nil"/>
              <w:left w:val="nil"/>
              <w:bottom w:val="nil"/>
              <w:right w:val="nil"/>
            </w:tcBorders>
            <w:shd w:val="clear" w:color="auto" w:fill="auto"/>
            <w:noWrap/>
            <w:vAlign w:val="bottom"/>
            <w:hideMark/>
          </w:tcPr>
          <w:p w:rsidR="000D4813" w:rsidRDefault="000D4813">
            <w:pPr>
              <w:jc w:val="right"/>
              <w:rPr>
                <w:b/>
                <w:bCs/>
                <w:sz w:val="22"/>
                <w:szCs w:val="22"/>
              </w:rPr>
            </w:pPr>
            <w:r>
              <w:rPr>
                <w:b/>
                <w:bCs/>
                <w:sz w:val="22"/>
                <w:szCs w:val="22"/>
              </w:rPr>
              <w:t>962.659,03</w:t>
            </w:r>
          </w:p>
        </w:tc>
      </w:tr>
      <w:tr w:rsidR="000D4813" w:rsidTr="000D4813">
        <w:trPr>
          <w:trHeight w:val="360"/>
        </w:trPr>
        <w:tc>
          <w:tcPr>
            <w:tcW w:w="5246" w:type="dxa"/>
            <w:tcBorders>
              <w:top w:val="nil"/>
              <w:left w:val="nil"/>
              <w:bottom w:val="nil"/>
              <w:right w:val="nil"/>
            </w:tcBorders>
            <w:shd w:val="clear" w:color="auto" w:fill="auto"/>
            <w:noWrap/>
            <w:vAlign w:val="bottom"/>
            <w:hideMark/>
          </w:tcPr>
          <w:p w:rsidR="000D4813" w:rsidRDefault="000D4813">
            <w:pPr>
              <w:rPr>
                <w:sz w:val="22"/>
                <w:szCs w:val="22"/>
              </w:rPr>
            </w:pPr>
            <w:r>
              <w:rPr>
                <w:sz w:val="22"/>
                <w:szCs w:val="22"/>
              </w:rPr>
              <w:t>Ταμειακά διαθέσιμα και ισοδύναμα λήξης περιόδου</w:t>
            </w:r>
          </w:p>
        </w:tc>
        <w:tc>
          <w:tcPr>
            <w:tcW w:w="271" w:type="dxa"/>
            <w:tcBorders>
              <w:top w:val="nil"/>
              <w:left w:val="nil"/>
              <w:bottom w:val="nil"/>
              <w:right w:val="nil"/>
            </w:tcBorders>
            <w:shd w:val="clear" w:color="auto" w:fill="auto"/>
            <w:noWrap/>
            <w:vAlign w:val="bottom"/>
            <w:hideMark/>
          </w:tcPr>
          <w:p w:rsidR="000D4813" w:rsidRDefault="000D4813">
            <w:pPr>
              <w:rPr>
                <w:sz w:val="22"/>
                <w:szCs w:val="22"/>
              </w:rPr>
            </w:pPr>
          </w:p>
        </w:tc>
        <w:tc>
          <w:tcPr>
            <w:tcW w:w="271" w:type="dxa"/>
            <w:tcBorders>
              <w:top w:val="nil"/>
              <w:left w:val="nil"/>
              <w:bottom w:val="nil"/>
              <w:right w:val="nil"/>
            </w:tcBorders>
            <w:shd w:val="clear" w:color="auto" w:fill="auto"/>
            <w:noWrap/>
            <w:vAlign w:val="bottom"/>
            <w:hideMark/>
          </w:tcPr>
          <w:p w:rsidR="000D4813" w:rsidRDefault="000D4813">
            <w:pPr>
              <w:rPr>
                <w:sz w:val="20"/>
                <w:szCs w:val="20"/>
              </w:rPr>
            </w:pPr>
          </w:p>
        </w:tc>
        <w:tc>
          <w:tcPr>
            <w:tcW w:w="1896"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rPr>
                <w:b/>
                <w:bCs/>
                <w:sz w:val="22"/>
                <w:szCs w:val="22"/>
              </w:rPr>
            </w:pPr>
            <w:r>
              <w:rPr>
                <w:b/>
                <w:bCs/>
                <w:sz w:val="22"/>
                <w:szCs w:val="22"/>
              </w:rPr>
              <w:t>1.110.951,55</w:t>
            </w:r>
          </w:p>
        </w:tc>
        <w:tc>
          <w:tcPr>
            <w:tcW w:w="222" w:type="dxa"/>
            <w:tcBorders>
              <w:top w:val="nil"/>
              <w:left w:val="nil"/>
              <w:bottom w:val="nil"/>
              <w:right w:val="nil"/>
            </w:tcBorders>
            <w:shd w:val="clear" w:color="auto" w:fill="auto"/>
            <w:noWrap/>
            <w:vAlign w:val="bottom"/>
            <w:hideMark/>
          </w:tcPr>
          <w:p w:rsidR="000D4813" w:rsidRDefault="000D4813">
            <w:pPr>
              <w:jc w:val="right"/>
              <w:rPr>
                <w:b/>
                <w:bCs/>
                <w:sz w:val="22"/>
                <w:szCs w:val="22"/>
              </w:rPr>
            </w:pPr>
          </w:p>
        </w:tc>
        <w:tc>
          <w:tcPr>
            <w:tcW w:w="1816" w:type="dxa"/>
            <w:tcBorders>
              <w:top w:val="single" w:sz="4" w:space="0" w:color="auto"/>
              <w:left w:val="nil"/>
              <w:bottom w:val="double" w:sz="6" w:space="0" w:color="auto"/>
              <w:right w:val="nil"/>
            </w:tcBorders>
            <w:shd w:val="clear" w:color="auto" w:fill="auto"/>
            <w:noWrap/>
            <w:vAlign w:val="bottom"/>
            <w:hideMark/>
          </w:tcPr>
          <w:p w:rsidR="000D4813" w:rsidRDefault="000D4813">
            <w:pPr>
              <w:jc w:val="right"/>
              <w:rPr>
                <w:b/>
                <w:bCs/>
                <w:sz w:val="22"/>
                <w:szCs w:val="22"/>
              </w:rPr>
            </w:pPr>
            <w:r>
              <w:rPr>
                <w:b/>
                <w:bCs/>
                <w:sz w:val="22"/>
                <w:szCs w:val="22"/>
              </w:rPr>
              <w:t>867.468,74</w:t>
            </w:r>
          </w:p>
        </w:tc>
      </w:tr>
    </w:tbl>
    <w:p w:rsidR="000D4813" w:rsidRDefault="000D4813" w:rsidP="00305015">
      <w:pPr>
        <w:ind w:left="-567"/>
        <w:jc w:val="both"/>
        <w:rPr>
          <w:rFonts w:ascii="Tahoma" w:hAnsi="Tahoma" w:cs="Tahoma"/>
          <w:sz w:val="22"/>
          <w:szCs w:val="22"/>
          <w:lang w:val="en-US"/>
        </w:rPr>
      </w:pPr>
    </w:p>
    <w:p w:rsidR="000D4813" w:rsidRDefault="000D4813" w:rsidP="00305015">
      <w:pPr>
        <w:ind w:left="-567"/>
        <w:jc w:val="both"/>
        <w:rPr>
          <w:rFonts w:ascii="Tahoma" w:hAnsi="Tahoma" w:cs="Tahoma"/>
          <w:sz w:val="22"/>
          <w:szCs w:val="22"/>
          <w:lang w:val="en-US"/>
        </w:rPr>
      </w:pPr>
    </w:p>
    <w:p w:rsidR="000D4813" w:rsidRDefault="000D4813" w:rsidP="000D4813">
      <w:pPr>
        <w:jc w:val="both"/>
        <w:rPr>
          <w:rFonts w:ascii="Tahoma" w:hAnsi="Tahoma" w:cs="Tahoma"/>
          <w:sz w:val="22"/>
          <w:szCs w:val="22"/>
          <w:lang w:val="en-US"/>
        </w:rPr>
      </w:pPr>
    </w:p>
    <w:p w:rsidR="000D4813" w:rsidRPr="00485A4C" w:rsidRDefault="000D4813" w:rsidP="00305015">
      <w:pPr>
        <w:ind w:left="-567"/>
        <w:jc w:val="both"/>
        <w:rPr>
          <w:rFonts w:ascii="Tahoma" w:hAnsi="Tahoma" w:cs="Tahoma"/>
          <w:sz w:val="22"/>
          <w:szCs w:val="22"/>
          <w:highlight w:val="red"/>
          <w:lang w:val="en-US"/>
        </w:rPr>
      </w:pPr>
    </w:p>
    <w:p w:rsidR="00942E09" w:rsidRPr="00485A4C" w:rsidRDefault="00736A07" w:rsidP="00305015">
      <w:pPr>
        <w:spacing w:line="360" w:lineRule="auto"/>
        <w:ind w:left="-1134" w:right="-874"/>
        <w:jc w:val="both"/>
        <w:rPr>
          <w:rFonts w:ascii="Tahoma" w:hAnsi="Tahoma" w:cs="Tahoma"/>
          <w:sz w:val="22"/>
          <w:szCs w:val="22"/>
        </w:rPr>
      </w:pPr>
      <w:r w:rsidRPr="00485A4C">
        <w:rPr>
          <w:rFonts w:ascii="Tahoma" w:hAnsi="Tahoma" w:cs="Tahoma"/>
          <w:sz w:val="22"/>
          <w:szCs w:val="22"/>
        </w:rPr>
        <w:t xml:space="preserve">(Oι </w:t>
      </w:r>
      <w:r w:rsidR="00A66BCE" w:rsidRPr="00485A4C">
        <w:rPr>
          <w:rFonts w:ascii="Tahoma" w:hAnsi="Tahoma" w:cs="Tahoma"/>
          <w:sz w:val="22"/>
          <w:szCs w:val="22"/>
        </w:rPr>
        <w:t xml:space="preserve">σημειώσεις </w:t>
      </w:r>
      <w:r w:rsidR="00160A62" w:rsidRPr="00485A4C">
        <w:rPr>
          <w:rFonts w:ascii="Tahoma" w:hAnsi="Tahoma" w:cs="Tahoma"/>
          <w:sz w:val="22"/>
          <w:szCs w:val="22"/>
        </w:rPr>
        <w:t xml:space="preserve">στις σελίδες </w:t>
      </w:r>
      <w:r w:rsidR="00AA45D6" w:rsidRPr="00485A4C">
        <w:rPr>
          <w:rFonts w:ascii="Tahoma" w:hAnsi="Tahoma" w:cs="Tahoma"/>
          <w:sz w:val="22"/>
          <w:szCs w:val="22"/>
        </w:rPr>
        <w:t>1</w:t>
      </w:r>
      <w:r w:rsidR="0025494D" w:rsidRPr="00485A4C">
        <w:rPr>
          <w:rFonts w:ascii="Tahoma" w:hAnsi="Tahoma" w:cs="Tahoma"/>
          <w:sz w:val="22"/>
          <w:szCs w:val="22"/>
          <w:lang w:val="en-US"/>
        </w:rPr>
        <w:t>0</w:t>
      </w:r>
      <w:r w:rsidR="0014727B" w:rsidRPr="00485A4C">
        <w:rPr>
          <w:rFonts w:ascii="Tahoma" w:hAnsi="Tahoma" w:cs="Tahoma"/>
          <w:sz w:val="22"/>
          <w:szCs w:val="22"/>
        </w:rPr>
        <w:t>-</w:t>
      </w:r>
      <w:r w:rsidR="00D94651">
        <w:rPr>
          <w:rFonts w:ascii="Tahoma" w:hAnsi="Tahoma" w:cs="Tahoma"/>
          <w:sz w:val="22"/>
          <w:szCs w:val="22"/>
          <w:lang w:val="en-US"/>
        </w:rPr>
        <w:t>53</w:t>
      </w:r>
      <w:r w:rsidR="0014727B" w:rsidRPr="00485A4C">
        <w:rPr>
          <w:rFonts w:ascii="Tahoma" w:hAnsi="Tahoma" w:cs="Tahoma"/>
          <w:sz w:val="22"/>
          <w:szCs w:val="22"/>
        </w:rPr>
        <w:t xml:space="preserve"> </w:t>
      </w:r>
      <w:r w:rsidR="00A66BCE" w:rsidRPr="00485A4C">
        <w:rPr>
          <w:rFonts w:ascii="Tahoma" w:hAnsi="Tahoma" w:cs="Tahoma"/>
          <w:sz w:val="22"/>
          <w:szCs w:val="22"/>
        </w:rPr>
        <w:t>αποτελούν αναπόσπαστο μέρος των οικονομικών καταστάσεων)</w:t>
      </w:r>
    </w:p>
    <w:p w:rsidR="0016087F" w:rsidRPr="00485A4C" w:rsidRDefault="00662CB7" w:rsidP="00F2406A">
      <w:pPr>
        <w:pStyle w:val="Heading1"/>
        <w:ind w:left="-540"/>
        <w:rPr>
          <w:rFonts w:ascii="Tahoma" w:hAnsi="Tahoma" w:cs="Tahoma"/>
          <w:sz w:val="22"/>
          <w:szCs w:val="22"/>
        </w:rPr>
      </w:pPr>
      <w:bookmarkStart w:id="14" w:name="_Toc526260598"/>
      <w:r w:rsidRPr="00485A4C">
        <w:rPr>
          <w:rFonts w:ascii="Tahoma" w:hAnsi="Tahoma" w:cs="Tahoma"/>
          <w:sz w:val="22"/>
          <w:szCs w:val="22"/>
        </w:rPr>
        <w:t>4</w:t>
      </w:r>
      <w:r w:rsidR="00BC680B" w:rsidRPr="00485A4C">
        <w:rPr>
          <w:rFonts w:ascii="Tahoma" w:hAnsi="Tahoma" w:cs="Tahoma"/>
          <w:sz w:val="22"/>
          <w:szCs w:val="22"/>
        </w:rPr>
        <w:t xml:space="preserve">. </w:t>
      </w:r>
      <w:r w:rsidR="0016087F" w:rsidRPr="00485A4C">
        <w:rPr>
          <w:rFonts w:ascii="Tahoma" w:hAnsi="Tahoma" w:cs="Tahoma"/>
          <w:sz w:val="22"/>
          <w:szCs w:val="22"/>
        </w:rPr>
        <w:t>Γενικές πληροφορίες</w:t>
      </w:r>
      <w:bookmarkEnd w:id="14"/>
    </w:p>
    <w:p w:rsidR="00803FD3" w:rsidRPr="00485A4C" w:rsidRDefault="00803FD3" w:rsidP="00F2406A">
      <w:pPr>
        <w:ind w:left="-540"/>
        <w:rPr>
          <w:rFonts w:ascii="Tahoma" w:hAnsi="Tahoma" w:cs="Tahoma"/>
          <w:sz w:val="22"/>
          <w:szCs w:val="22"/>
          <w:highlight w:val="red"/>
        </w:rPr>
      </w:pPr>
    </w:p>
    <w:p w:rsidR="00EE2FEF" w:rsidRPr="00485A4C" w:rsidRDefault="00EE2FEF" w:rsidP="00EE2FEF">
      <w:pPr>
        <w:spacing w:line="360" w:lineRule="auto"/>
        <w:ind w:left="-540"/>
        <w:jc w:val="both"/>
        <w:rPr>
          <w:rFonts w:ascii="Tahoma" w:hAnsi="Tahoma" w:cs="Tahoma"/>
          <w:sz w:val="22"/>
          <w:szCs w:val="22"/>
        </w:rPr>
      </w:pPr>
      <w:r w:rsidRPr="00485A4C">
        <w:rPr>
          <w:rFonts w:ascii="Tahoma" w:hAnsi="Tahoma" w:cs="Tahoma"/>
          <w:sz w:val="22"/>
          <w:szCs w:val="22"/>
        </w:rPr>
        <w:t>Η Εταιρεία με την επωνυμία «ΠΕΠΟΝΟΠΟΥΛΟΣ ΑΝΩΝΥΜΟΣ ΕΤΑΙΡΕΙΑ» και διακριτικό τίτλο «ΠΗΛΙΟ Α.Ε.» συστάθηκε το 2005 (ΦΕΚ 254/11.01.2006).</w:t>
      </w:r>
    </w:p>
    <w:p w:rsidR="00EE2FEF" w:rsidRPr="00485A4C" w:rsidRDefault="00EE2FEF" w:rsidP="00EE2FEF">
      <w:pPr>
        <w:spacing w:line="360" w:lineRule="auto"/>
        <w:ind w:left="-540"/>
        <w:jc w:val="both"/>
        <w:rPr>
          <w:rFonts w:ascii="Tahoma" w:hAnsi="Tahoma" w:cs="Tahoma"/>
          <w:sz w:val="22"/>
          <w:szCs w:val="22"/>
        </w:rPr>
      </w:pPr>
      <w:r w:rsidRPr="00485A4C">
        <w:rPr>
          <w:rFonts w:ascii="Tahoma" w:hAnsi="Tahoma" w:cs="Tahoma"/>
          <w:sz w:val="22"/>
          <w:szCs w:val="22"/>
        </w:rPr>
        <w:t>Η εταιρεία  είναι εγγεγραμμένη στο μητρώο Ανωνύμων Εταιρειών με ΑΡ.Μ.Α.Ε. 59843/32/Β/05/018, έχει ΑΡ. Γ.Ε.ΜΗ 50606944000 και έχει ως έδρα την Α΄ΒΙΠΕ ΒΟΛΟΥ, Τ.Θ. 104. Η διάρκεια της εταιρείας έχει ορισθεί έως την 28</w:t>
      </w:r>
      <w:r w:rsidRPr="00485A4C">
        <w:rPr>
          <w:rFonts w:ascii="Tahoma" w:hAnsi="Tahoma" w:cs="Tahoma"/>
          <w:sz w:val="22"/>
          <w:szCs w:val="22"/>
          <w:vertAlign w:val="superscript"/>
        </w:rPr>
        <w:t>η</w:t>
      </w:r>
      <w:r w:rsidRPr="00485A4C">
        <w:rPr>
          <w:rFonts w:ascii="Tahoma" w:hAnsi="Tahoma" w:cs="Tahoma"/>
          <w:sz w:val="22"/>
          <w:szCs w:val="22"/>
        </w:rPr>
        <w:t xml:space="preserve"> Δεκεμβρίου 2055. </w:t>
      </w:r>
    </w:p>
    <w:p w:rsidR="00EE2FEF" w:rsidRPr="00485A4C" w:rsidRDefault="00EE2FEF" w:rsidP="00EE2FEF">
      <w:pPr>
        <w:spacing w:line="360" w:lineRule="auto"/>
        <w:ind w:left="-540"/>
        <w:jc w:val="both"/>
        <w:rPr>
          <w:rFonts w:ascii="Tahoma" w:hAnsi="Tahoma" w:cs="Tahoma"/>
          <w:sz w:val="22"/>
          <w:szCs w:val="22"/>
        </w:rPr>
      </w:pPr>
      <w:r w:rsidRPr="00485A4C">
        <w:rPr>
          <w:rFonts w:ascii="Tahoma" w:hAnsi="Tahoma" w:cs="Tahoma"/>
          <w:sz w:val="22"/>
          <w:szCs w:val="22"/>
        </w:rPr>
        <w:t>Κύριο αντικείμενο των εργασιών της εταιρείας σύμφωνα με το άρθρο 4 του καταστατικού της είναι:</w:t>
      </w:r>
    </w:p>
    <w:p w:rsidR="00EE2FEF" w:rsidRPr="00485A4C" w:rsidRDefault="00EE2FEF" w:rsidP="00EE2FEF">
      <w:pPr>
        <w:numPr>
          <w:ilvl w:val="0"/>
          <w:numId w:val="49"/>
        </w:numPr>
        <w:autoSpaceDE w:val="0"/>
        <w:autoSpaceDN w:val="0"/>
        <w:adjustRightInd w:val="0"/>
        <w:spacing w:line="360" w:lineRule="auto"/>
        <w:ind w:left="-142"/>
        <w:jc w:val="both"/>
        <w:rPr>
          <w:rFonts w:ascii="Tahoma" w:hAnsi="Tahoma" w:cs="Tahoma"/>
        </w:rPr>
      </w:pPr>
      <w:r w:rsidRPr="00485A4C">
        <w:rPr>
          <w:rFonts w:ascii="Tahoma" w:hAnsi="Tahoma" w:cs="Tahoma"/>
        </w:rPr>
        <w:t>Η λειτουργία και εκμετάλλευση εργοστασίου παγωτών και ειδών ζαχαρωδών προϊόντων, ως και η παραγωγή και εμπορία τροφίμων, ειδών ζαχαροπλαστικής και γαλακτοκομικών προϊόντων,</w:t>
      </w:r>
    </w:p>
    <w:p w:rsidR="00EE2FEF" w:rsidRPr="00485A4C" w:rsidRDefault="00EE2FEF" w:rsidP="00EE2FEF">
      <w:pPr>
        <w:numPr>
          <w:ilvl w:val="0"/>
          <w:numId w:val="49"/>
        </w:numPr>
        <w:autoSpaceDE w:val="0"/>
        <w:autoSpaceDN w:val="0"/>
        <w:adjustRightInd w:val="0"/>
        <w:spacing w:line="360" w:lineRule="auto"/>
        <w:ind w:left="-142"/>
        <w:jc w:val="both"/>
        <w:rPr>
          <w:rFonts w:ascii="Tahoma" w:hAnsi="Tahoma" w:cs="Tahoma"/>
        </w:rPr>
      </w:pPr>
      <w:r w:rsidRPr="00485A4C">
        <w:rPr>
          <w:rFonts w:ascii="Tahoma" w:hAnsi="Tahoma" w:cs="Tahoma"/>
        </w:rPr>
        <w:t>Η εισαγωγή εκ του εξωτερικού και η εμπορία στην Ελλάδα συναφών ειδών. Η άσκηση συναφούς εμπορικής και βιομηχανικής δραστηριότητας που απορρέει ή οπωσδήποτε συνδέεται με όλες τις δραστηριότητες που αναφέρονται παραπάνω, η αντιπροσώπευση στην Ελλάδα και εμπορικών επιχειρήσεων, όπως επίσης και η συμμετοχή στις άλλες συναφείς επιχειρήσεις και η εκτέλεση κάθε άλλης ομοειδούς ή συναφούς σύμφωνα με τον εταιρικό σκοπό εργασίας για την οποία θα αποφασίσει η Γενική Συνέλευση των εταίρων,</w:t>
      </w:r>
    </w:p>
    <w:p w:rsidR="00EE2FEF" w:rsidRPr="00485A4C" w:rsidRDefault="00EE2FEF" w:rsidP="00EE2FEF">
      <w:pPr>
        <w:numPr>
          <w:ilvl w:val="0"/>
          <w:numId w:val="49"/>
        </w:numPr>
        <w:autoSpaceDE w:val="0"/>
        <w:autoSpaceDN w:val="0"/>
        <w:adjustRightInd w:val="0"/>
        <w:spacing w:line="360" w:lineRule="auto"/>
        <w:ind w:left="-142"/>
        <w:jc w:val="both"/>
        <w:rPr>
          <w:rFonts w:ascii="Tahoma" w:hAnsi="Tahoma" w:cs="Tahoma"/>
        </w:rPr>
      </w:pPr>
      <w:r w:rsidRPr="00485A4C">
        <w:rPr>
          <w:rFonts w:ascii="Tahoma" w:hAnsi="Tahoma" w:cs="Tahoma"/>
        </w:rPr>
        <w:t>Η Παροχή Υπηρεσιών Εφοδιαστικής Αλυσίδας (Logistics): παραλαβή, μεταφορά, αποθήκευση, συσκευασία και ανεφοδιασμός σε επιχειρηματικές μονάδες, υλικών και εμπορευμάτων (α’ ύλες, ενδιάμεσα − τελικά προϊόντα), καθώς και διαχείριση του συνόλου της σχετικής πληροφορίας,</w:t>
      </w:r>
    </w:p>
    <w:p w:rsidR="00EE2FEF" w:rsidRPr="00485A4C" w:rsidRDefault="00EE2FEF" w:rsidP="00EE2FEF">
      <w:pPr>
        <w:numPr>
          <w:ilvl w:val="0"/>
          <w:numId w:val="49"/>
        </w:numPr>
        <w:autoSpaceDE w:val="0"/>
        <w:autoSpaceDN w:val="0"/>
        <w:adjustRightInd w:val="0"/>
        <w:spacing w:line="360" w:lineRule="auto"/>
        <w:ind w:left="-142"/>
        <w:jc w:val="both"/>
        <w:rPr>
          <w:rFonts w:ascii="Tahoma" w:hAnsi="Tahoma" w:cs="Tahoma"/>
        </w:rPr>
      </w:pPr>
      <w:r w:rsidRPr="00485A4C">
        <w:rPr>
          <w:rFonts w:ascii="Tahoma" w:hAnsi="Tahoma" w:cs="Tahoma"/>
        </w:rPr>
        <w:t>Η παραγωγή και εμπορία ηλεκτρικής ενέργειας και</w:t>
      </w:r>
    </w:p>
    <w:p w:rsidR="00EE2FEF" w:rsidRPr="00485A4C" w:rsidRDefault="00EE2FEF" w:rsidP="00EE2FEF">
      <w:pPr>
        <w:numPr>
          <w:ilvl w:val="0"/>
          <w:numId w:val="49"/>
        </w:numPr>
        <w:autoSpaceDE w:val="0"/>
        <w:autoSpaceDN w:val="0"/>
        <w:adjustRightInd w:val="0"/>
        <w:spacing w:line="360" w:lineRule="auto"/>
        <w:ind w:left="-142"/>
        <w:jc w:val="both"/>
        <w:rPr>
          <w:rFonts w:ascii="Tahoma" w:hAnsi="Tahoma" w:cs="Tahoma"/>
        </w:rPr>
      </w:pPr>
      <w:r w:rsidRPr="00485A4C">
        <w:rPr>
          <w:rFonts w:ascii="Tahoma" w:hAnsi="Tahoma" w:cs="Tahoma"/>
        </w:rPr>
        <w:lastRenderedPageBreak/>
        <w:t>Η εκμετάλλευση εκτροφείου σαλιγκαριών και συγκεκριμένα η παραγωγή, επεξεργασία και εμπορία σαλιγκαριών, υλικών, εξοπλισμού και λοιπών ειδών που αναφέρονται στην εκτροφή, παραγωγή, επεξεργασία και εμπορία σαλιγκαριών.</w:t>
      </w:r>
    </w:p>
    <w:p w:rsidR="00EE2FEF" w:rsidRPr="00485A4C" w:rsidRDefault="0035043A" w:rsidP="00EE2FEF">
      <w:pPr>
        <w:spacing w:before="120" w:line="360" w:lineRule="auto"/>
        <w:ind w:left="-567"/>
        <w:jc w:val="both"/>
        <w:rPr>
          <w:rFonts w:ascii="Tahoma" w:hAnsi="Tahoma" w:cs="Tahoma"/>
          <w:color w:val="0000FF"/>
          <w:sz w:val="22"/>
          <w:szCs w:val="22"/>
          <w:u w:val="single"/>
        </w:rPr>
      </w:pPr>
      <w:r w:rsidRPr="00485A4C">
        <w:rPr>
          <w:rFonts w:ascii="Tahoma" w:hAnsi="Tahoma" w:cs="Tahoma"/>
          <w:sz w:val="22"/>
          <w:szCs w:val="22"/>
        </w:rPr>
        <w:t xml:space="preserve">Η διεύθυνση της </w:t>
      </w:r>
      <w:r w:rsidR="00EA5CD8" w:rsidRPr="00485A4C">
        <w:rPr>
          <w:rFonts w:ascii="Tahoma" w:hAnsi="Tahoma" w:cs="Tahoma"/>
          <w:sz w:val="22"/>
          <w:szCs w:val="22"/>
        </w:rPr>
        <w:t xml:space="preserve">εταιρείας </w:t>
      </w:r>
      <w:r w:rsidRPr="00485A4C">
        <w:rPr>
          <w:rFonts w:ascii="Tahoma" w:hAnsi="Tahoma" w:cs="Tahoma"/>
          <w:sz w:val="22"/>
          <w:szCs w:val="22"/>
        </w:rPr>
        <w:t xml:space="preserve">στο διαδίκτυο είναι </w:t>
      </w:r>
      <w:hyperlink r:id="rId13" w:history="1">
        <w:r w:rsidR="00EE2FEF" w:rsidRPr="00485A4C">
          <w:rPr>
            <w:rStyle w:val="Hyperlink"/>
            <w:rFonts w:ascii="Tahoma" w:hAnsi="Tahoma" w:cs="Tahoma"/>
            <w:sz w:val="22"/>
            <w:szCs w:val="22"/>
            <w:lang w:val="en-US"/>
          </w:rPr>
          <w:t>www</w:t>
        </w:r>
        <w:r w:rsidR="00EE2FEF" w:rsidRPr="00485A4C">
          <w:rPr>
            <w:rStyle w:val="Hyperlink"/>
            <w:rFonts w:ascii="Tahoma" w:hAnsi="Tahoma" w:cs="Tahoma"/>
            <w:sz w:val="22"/>
            <w:szCs w:val="22"/>
          </w:rPr>
          <w:t>.pilioicecream.com</w:t>
        </w:r>
      </w:hyperlink>
      <w:r w:rsidR="00EE2FEF" w:rsidRPr="00485A4C">
        <w:rPr>
          <w:rFonts w:ascii="Tahoma" w:hAnsi="Tahoma" w:cs="Tahoma"/>
          <w:sz w:val="22"/>
          <w:szCs w:val="22"/>
        </w:rPr>
        <w:t>.</w:t>
      </w:r>
    </w:p>
    <w:p w:rsidR="0035043A" w:rsidRPr="00485A4C" w:rsidRDefault="00760424" w:rsidP="0035043A">
      <w:pPr>
        <w:spacing w:line="360" w:lineRule="auto"/>
        <w:ind w:left="-567"/>
        <w:jc w:val="both"/>
        <w:rPr>
          <w:rFonts w:ascii="Tahoma" w:hAnsi="Tahoma" w:cs="Tahoma"/>
          <w:sz w:val="22"/>
          <w:szCs w:val="22"/>
        </w:rPr>
      </w:pPr>
      <w:r w:rsidRPr="00485A4C">
        <w:rPr>
          <w:rFonts w:ascii="Tahoma" w:hAnsi="Tahoma" w:cs="Tahoma"/>
          <w:sz w:val="22"/>
          <w:szCs w:val="22"/>
        </w:rPr>
        <w:t>Η σύνθεση του Διοικητικού Συμβουλίου της Εταιρείας, όπως παραμένει έως την δημοσίευση των οικονομικών καταστάσεων, του οποίου η θητεία λήγει το έτος 2021 (ημερομηνία σύγκλησης Τακτικής Γενικής Συνέλευσης) είναι η εξής:</w:t>
      </w:r>
    </w:p>
    <w:tbl>
      <w:tblPr>
        <w:tblW w:w="91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88"/>
      </w:tblGrid>
      <w:tr w:rsidR="000E02EA" w:rsidRPr="00485A4C" w:rsidTr="000E02EA">
        <w:trPr>
          <w:trHeight w:val="402"/>
        </w:trPr>
        <w:tc>
          <w:tcPr>
            <w:tcW w:w="4536" w:type="dxa"/>
            <w:shd w:val="clear" w:color="auto" w:fill="auto"/>
            <w:noWrap/>
            <w:vAlign w:val="bottom"/>
            <w:hideMark/>
          </w:tcPr>
          <w:p w:rsidR="0035043A" w:rsidRPr="00485A4C" w:rsidRDefault="0035043A">
            <w:pPr>
              <w:rPr>
                <w:rFonts w:ascii="Tahoma" w:hAnsi="Tahoma" w:cs="Tahoma"/>
                <w:b/>
                <w:sz w:val="22"/>
                <w:szCs w:val="22"/>
              </w:rPr>
            </w:pPr>
            <w:r w:rsidRPr="00485A4C">
              <w:rPr>
                <w:rFonts w:ascii="Tahoma" w:hAnsi="Tahoma" w:cs="Tahoma"/>
                <w:b/>
                <w:sz w:val="22"/>
                <w:szCs w:val="22"/>
              </w:rPr>
              <w:t>Πρόεδρος &amp; Διευθύνων Σύμβουλος</w:t>
            </w:r>
          </w:p>
        </w:tc>
        <w:tc>
          <w:tcPr>
            <w:tcW w:w="4588" w:type="dxa"/>
            <w:shd w:val="clear" w:color="auto" w:fill="auto"/>
            <w:noWrap/>
            <w:vAlign w:val="bottom"/>
            <w:hideMark/>
          </w:tcPr>
          <w:p w:rsidR="0035043A" w:rsidRPr="00485A4C" w:rsidRDefault="00D06397" w:rsidP="00D06397">
            <w:pPr>
              <w:rPr>
                <w:rFonts w:ascii="Tahoma" w:hAnsi="Tahoma" w:cs="Tahoma"/>
                <w:b/>
                <w:sz w:val="22"/>
                <w:szCs w:val="22"/>
              </w:rPr>
            </w:pPr>
            <w:r w:rsidRPr="00485A4C">
              <w:rPr>
                <w:rFonts w:ascii="Tahoma" w:hAnsi="Tahoma" w:cs="Tahoma"/>
                <w:b/>
                <w:sz w:val="22"/>
                <w:szCs w:val="22"/>
              </w:rPr>
              <w:t>ΠΕΠΟΝΟΠΟΥΛΟΣ ΕΜΜΑΝ. ΣΤΕΛΙΟΣ</w:t>
            </w:r>
          </w:p>
        </w:tc>
      </w:tr>
      <w:tr w:rsidR="000E02EA" w:rsidRPr="00485A4C" w:rsidTr="000E02EA">
        <w:trPr>
          <w:trHeight w:val="402"/>
        </w:trPr>
        <w:tc>
          <w:tcPr>
            <w:tcW w:w="4536" w:type="dxa"/>
            <w:shd w:val="clear" w:color="auto" w:fill="auto"/>
            <w:noWrap/>
            <w:vAlign w:val="bottom"/>
            <w:hideMark/>
          </w:tcPr>
          <w:p w:rsidR="0035043A" w:rsidRPr="00485A4C" w:rsidRDefault="0035043A">
            <w:pPr>
              <w:rPr>
                <w:rFonts w:ascii="Tahoma" w:hAnsi="Tahoma" w:cs="Tahoma"/>
                <w:b/>
                <w:sz w:val="22"/>
                <w:szCs w:val="22"/>
              </w:rPr>
            </w:pPr>
            <w:r w:rsidRPr="00485A4C">
              <w:rPr>
                <w:rFonts w:ascii="Tahoma" w:hAnsi="Tahoma" w:cs="Tahoma"/>
                <w:b/>
                <w:sz w:val="22"/>
                <w:szCs w:val="22"/>
              </w:rPr>
              <w:t>Αντιπρόεδρος</w:t>
            </w:r>
          </w:p>
        </w:tc>
        <w:tc>
          <w:tcPr>
            <w:tcW w:w="4588" w:type="dxa"/>
            <w:shd w:val="clear" w:color="auto" w:fill="auto"/>
            <w:noWrap/>
            <w:vAlign w:val="bottom"/>
          </w:tcPr>
          <w:p w:rsidR="0035043A" w:rsidRPr="00485A4C" w:rsidRDefault="00D06397" w:rsidP="00D06397">
            <w:pPr>
              <w:rPr>
                <w:rFonts w:ascii="Tahoma" w:hAnsi="Tahoma" w:cs="Tahoma"/>
                <w:b/>
                <w:sz w:val="22"/>
                <w:szCs w:val="22"/>
              </w:rPr>
            </w:pPr>
            <w:r w:rsidRPr="00485A4C">
              <w:rPr>
                <w:rFonts w:ascii="Tahoma" w:hAnsi="Tahoma" w:cs="Tahoma"/>
                <w:b/>
                <w:sz w:val="22"/>
                <w:szCs w:val="22"/>
              </w:rPr>
              <w:t>ΠΕΠΟΝΟΠΟΥΛΟΣ ΣΤΥΛ. ΒΑΣΙΛΕΙΟΣ</w:t>
            </w:r>
          </w:p>
        </w:tc>
      </w:tr>
      <w:tr w:rsidR="000E02EA" w:rsidRPr="00485A4C" w:rsidTr="000E02EA">
        <w:trPr>
          <w:trHeight w:val="402"/>
        </w:trPr>
        <w:tc>
          <w:tcPr>
            <w:tcW w:w="4536" w:type="dxa"/>
            <w:shd w:val="clear" w:color="auto" w:fill="auto"/>
            <w:noWrap/>
            <w:vAlign w:val="bottom"/>
            <w:hideMark/>
          </w:tcPr>
          <w:p w:rsidR="00760424" w:rsidRPr="00485A4C" w:rsidRDefault="00760424" w:rsidP="00A007B3">
            <w:pPr>
              <w:rPr>
                <w:rFonts w:ascii="Tahoma" w:hAnsi="Tahoma" w:cs="Tahoma"/>
                <w:b/>
                <w:sz w:val="22"/>
                <w:szCs w:val="22"/>
              </w:rPr>
            </w:pPr>
            <w:r w:rsidRPr="00485A4C">
              <w:rPr>
                <w:rFonts w:ascii="Tahoma" w:hAnsi="Tahoma" w:cs="Tahoma"/>
                <w:b/>
                <w:sz w:val="22"/>
                <w:szCs w:val="22"/>
              </w:rPr>
              <w:t xml:space="preserve">Μέλος </w:t>
            </w:r>
          </w:p>
        </w:tc>
        <w:tc>
          <w:tcPr>
            <w:tcW w:w="4588" w:type="dxa"/>
            <w:shd w:val="clear" w:color="auto" w:fill="auto"/>
            <w:noWrap/>
            <w:vAlign w:val="bottom"/>
          </w:tcPr>
          <w:p w:rsidR="00760424" w:rsidRPr="00485A4C" w:rsidRDefault="00D06397" w:rsidP="00D06397">
            <w:pPr>
              <w:rPr>
                <w:rFonts w:ascii="Tahoma" w:hAnsi="Tahoma" w:cs="Tahoma"/>
                <w:b/>
                <w:sz w:val="22"/>
                <w:szCs w:val="22"/>
              </w:rPr>
            </w:pPr>
            <w:r w:rsidRPr="00485A4C">
              <w:rPr>
                <w:rFonts w:ascii="Tahoma" w:hAnsi="Tahoma" w:cs="Tahoma"/>
                <w:b/>
                <w:sz w:val="22"/>
                <w:szCs w:val="22"/>
              </w:rPr>
              <w:t>ΔΙΑΜΑΝΤΟΠΟΥΛΟΥ ΒΑΣ. ΣΟΦΙΑ</w:t>
            </w:r>
          </w:p>
        </w:tc>
      </w:tr>
      <w:tr w:rsidR="000E02EA" w:rsidRPr="00485A4C" w:rsidTr="000E02EA">
        <w:trPr>
          <w:trHeight w:val="402"/>
        </w:trPr>
        <w:tc>
          <w:tcPr>
            <w:tcW w:w="4536" w:type="dxa"/>
            <w:shd w:val="clear" w:color="auto" w:fill="auto"/>
            <w:noWrap/>
            <w:vAlign w:val="bottom"/>
            <w:hideMark/>
          </w:tcPr>
          <w:p w:rsidR="00760424" w:rsidRPr="00485A4C" w:rsidRDefault="00760424" w:rsidP="00A007B3">
            <w:pPr>
              <w:rPr>
                <w:rFonts w:ascii="Tahoma" w:hAnsi="Tahoma" w:cs="Tahoma"/>
                <w:b/>
                <w:sz w:val="22"/>
                <w:szCs w:val="22"/>
              </w:rPr>
            </w:pPr>
            <w:r w:rsidRPr="00485A4C">
              <w:rPr>
                <w:rFonts w:ascii="Tahoma" w:hAnsi="Tahoma" w:cs="Tahoma"/>
                <w:b/>
                <w:sz w:val="22"/>
                <w:szCs w:val="22"/>
              </w:rPr>
              <w:t xml:space="preserve">Μέλος </w:t>
            </w:r>
          </w:p>
        </w:tc>
        <w:tc>
          <w:tcPr>
            <w:tcW w:w="4588" w:type="dxa"/>
            <w:shd w:val="clear" w:color="auto" w:fill="auto"/>
            <w:noWrap/>
            <w:vAlign w:val="bottom"/>
          </w:tcPr>
          <w:p w:rsidR="00760424" w:rsidRPr="00485A4C" w:rsidRDefault="00D06397" w:rsidP="00D06397">
            <w:pPr>
              <w:rPr>
                <w:rFonts w:ascii="Tahoma" w:hAnsi="Tahoma" w:cs="Tahoma"/>
                <w:b/>
                <w:sz w:val="22"/>
                <w:szCs w:val="22"/>
              </w:rPr>
            </w:pPr>
            <w:r w:rsidRPr="00485A4C">
              <w:rPr>
                <w:rFonts w:ascii="Tahoma" w:hAnsi="Tahoma" w:cs="Tahoma"/>
                <w:b/>
                <w:sz w:val="22"/>
                <w:szCs w:val="22"/>
              </w:rPr>
              <w:t>ΧΡΙΣΤΟΠΟΥΛΟΥ ΝΙΚ. ΕΛΕΝΗ</w:t>
            </w:r>
          </w:p>
        </w:tc>
      </w:tr>
      <w:tr w:rsidR="000E02EA" w:rsidRPr="00485A4C" w:rsidTr="000E02EA">
        <w:trPr>
          <w:trHeight w:val="402"/>
        </w:trPr>
        <w:tc>
          <w:tcPr>
            <w:tcW w:w="4536" w:type="dxa"/>
            <w:shd w:val="clear" w:color="auto" w:fill="auto"/>
            <w:noWrap/>
            <w:vAlign w:val="bottom"/>
            <w:hideMark/>
          </w:tcPr>
          <w:p w:rsidR="00760424" w:rsidRPr="00485A4C" w:rsidRDefault="00760424" w:rsidP="00A007B3">
            <w:pPr>
              <w:rPr>
                <w:rFonts w:ascii="Tahoma" w:hAnsi="Tahoma" w:cs="Tahoma"/>
                <w:b/>
                <w:sz w:val="22"/>
                <w:szCs w:val="22"/>
              </w:rPr>
            </w:pPr>
            <w:r w:rsidRPr="00485A4C">
              <w:rPr>
                <w:rFonts w:ascii="Tahoma" w:hAnsi="Tahoma" w:cs="Tahoma"/>
                <w:b/>
                <w:sz w:val="22"/>
                <w:szCs w:val="22"/>
              </w:rPr>
              <w:t xml:space="preserve">Μέλος </w:t>
            </w:r>
          </w:p>
        </w:tc>
        <w:tc>
          <w:tcPr>
            <w:tcW w:w="4588" w:type="dxa"/>
            <w:shd w:val="clear" w:color="auto" w:fill="auto"/>
            <w:noWrap/>
            <w:vAlign w:val="bottom"/>
          </w:tcPr>
          <w:p w:rsidR="00760424" w:rsidRPr="00485A4C" w:rsidRDefault="00D06397" w:rsidP="00D06397">
            <w:pPr>
              <w:rPr>
                <w:rFonts w:ascii="Tahoma" w:hAnsi="Tahoma" w:cs="Tahoma"/>
                <w:b/>
                <w:sz w:val="22"/>
                <w:szCs w:val="22"/>
              </w:rPr>
            </w:pPr>
            <w:r w:rsidRPr="00485A4C">
              <w:rPr>
                <w:rFonts w:ascii="Tahoma" w:hAnsi="Tahoma" w:cs="Tahoma"/>
                <w:b/>
                <w:sz w:val="22"/>
                <w:szCs w:val="22"/>
              </w:rPr>
              <w:t>ΙΩΑΝΝΙΔΟΥ ΓΕΩΡΓ. ΝΑΤΑΛΙΑ</w:t>
            </w:r>
          </w:p>
        </w:tc>
      </w:tr>
    </w:tbl>
    <w:p w:rsidR="0035043A" w:rsidRPr="00485A4C" w:rsidRDefault="0035043A" w:rsidP="005A747D">
      <w:pPr>
        <w:spacing w:before="120" w:line="360" w:lineRule="auto"/>
        <w:ind w:left="-540"/>
        <w:jc w:val="both"/>
        <w:rPr>
          <w:rFonts w:ascii="Tahoma" w:hAnsi="Tahoma" w:cs="Tahoma"/>
          <w:sz w:val="22"/>
          <w:szCs w:val="22"/>
          <w:highlight w:val="red"/>
        </w:rPr>
      </w:pPr>
    </w:p>
    <w:p w:rsidR="00BC680B" w:rsidRPr="00485A4C" w:rsidRDefault="00662CB7" w:rsidP="00F2406A">
      <w:pPr>
        <w:pStyle w:val="Heading1"/>
        <w:ind w:left="-540"/>
        <w:rPr>
          <w:rFonts w:ascii="Tahoma" w:hAnsi="Tahoma" w:cs="Tahoma"/>
          <w:sz w:val="22"/>
          <w:szCs w:val="22"/>
        </w:rPr>
      </w:pPr>
      <w:bookmarkStart w:id="15" w:name="_Toc526260599"/>
      <w:r w:rsidRPr="00485A4C">
        <w:rPr>
          <w:rFonts w:ascii="Tahoma" w:hAnsi="Tahoma" w:cs="Tahoma"/>
          <w:sz w:val="22"/>
          <w:szCs w:val="22"/>
        </w:rPr>
        <w:t>5</w:t>
      </w:r>
      <w:r w:rsidR="00921D5A" w:rsidRPr="00485A4C">
        <w:rPr>
          <w:rFonts w:ascii="Tahoma" w:hAnsi="Tahoma" w:cs="Tahoma"/>
          <w:sz w:val="22"/>
          <w:szCs w:val="22"/>
        </w:rPr>
        <w:t xml:space="preserve">. </w:t>
      </w:r>
      <w:r w:rsidR="00330BCE" w:rsidRPr="00485A4C">
        <w:rPr>
          <w:rFonts w:ascii="Tahoma" w:hAnsi="Tahoma" w:cs="Tahoma"/>
          <w:sz w:val="22"/>
          <w:szCs w:val="22"/>
        </w:rPr>
        <w:t>Ακολουθούμενες λογιστικές αρχές</w:t>
      </w:r>
      <w:bookmarkEnd w:id="15"/>
    </w:p>
    <w:p w:rsidR="0016087F" w:rsidRPr="00485A4C" w:rsidRDefault="0016087F" w:rsidP="00F2406A">
      <w:pPr>
        <w:pStyle w:val="058"/>
        <w:spacing w:after="0" w:line="360" w:lineRule="auto"/>
        <w:ind w:left="-540"/>
        <w:rPr>
          <w:rFonts w:ascii="Tahoma" w:hAnsi="Tahoma" w:cs="Tahoma"/>
          <w:sz w:val="22"/>
          <w:szCs w:val="22"/>
          <w:highlight w:val="red"/>
        </w:rPr>
      </w:pPr>
    </w:p>
    <w:p w:rsidR="0016087F" w:rsidRPr="00485A4C" w:rsidRDefault="00662CB7" w:rsidP="00F2406A">
      <w:pPr>
        <w:autoSpaceDE w:val="0"/>
        <w:autoSpaceDN w:val="0"/>
        <w:adjustRightInd w:val="0"/>
        <w:spacing w:line="360" w:lineRule="auto"/>
        <w:ind w:left="-540"/>
        <w:rPr>
          <w:rFonts w:ascii="Tahoma" w:hAnsi="Tahoma" w:cs="Tahoma"/>
          <w:b/>
          <w:sz w:val="22"/>
          <w:szCs w:val="22"/>
        </w:rPr>
      </w:pPr>
      <w:r w:rsidRPr="00485A4C">
        <w:rPr>
          <w:rFonts w:ascii="Tahoma" w:hAnsi="Tahoma" w:cs="Tahoma"/>
          <w:b/>
          <w:sz w:val="22"/>
          <w:szCs w:val="22"/>
        </w:rPr>
        <w:t>5</w:t>
      </w:r>
      <w:r w:rsidR="00BC680B" w:rsidRPr="00485A4C">
        <w:rPr>
          <w:rFonts w:ascii="Tahoma" w:hAnsi="Tahoma" w:cs="Tahoma"/>
          <w:b/>
          <w:sz w:val="22"/>
          <w:szCs w:val="22"/>
        </w:rPr>
        <w:t xml:space="preserve">.1 </w:t>
      </w:r>
      <w:r w:rsidR="0016087F" w:rsidRPr="00485A4C">
        <w:rPr>
          <w:rFonts w:ascii="Tahoma" w:hAnsi="Tahoma" w:cs="Tahoma"/>
          <w:b/>
          <w:sz w:val="22"/>
          <w:szCs w:val="22"/>
        </w:rPr>
        <w:t>Πλαίσιο κατάρτισης των οικονο</w:t>
      </w:r>
      <w:r w:rsidR="006D6332" w:rsidRPr="00485A4C">
        <w:rPr>
          <w:rFonts w:ascii="Tahoma" w:hAnsi="Tahoma" w:cs="Tahoma"/>
          <w:b/>
          <w:sz w:val="22"/>
          <w:szCs w:val="22"/>
        </w:rPr>
        <w:t>μ</w:t>
      </w:r>
      <w:r w:rsidR="0016087F" w:rsidRPr="00485A4C">
        <w:rPr>
          <w:rFonts w:ascii="Tahoma" w:hAnsi="Tahoma" w:cs="Tahoma"/>
          <w:b/>
          <w:sz w:val="22"/>
          <w:szCs w:val="22"/>
        </w:rPr>
        <w:t>ικών καταστάσεων.</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Οι οικονομικές καταστάσεις της 3</w:t>
      </w:r>
      <w:r w:rsidR="0035043A" w:rsidRPr="00485A4C">
        <w:rPr>
          <w:rFonts w:ascii="Tahoma" w:hAnsi="Tahoma" w:cs="Tahoma"/>
          <w:sz w:val="22"/>
          <w:szCs w:val="22"/>
        </w:rPr>
        <w:t>1</w:t>
      </w:r>
      <w:r w:rsidRPr="00485A4C">
        <w:rPr>
          <w:rFonts w:ascii="Tahoma" w:hAnsi="Tahoma" w:cs="Tahoma"/>
          <w:sz w:val="22"/>
          <w:szCs w:val="22"/>
          <w:vertAlign w:val="superscript"/>
        </w:rPr>
        <w:t xml:space="preserve">ής </w:t>
      </w:r>
      <w:r w:rsidR="0035043A" w:rsidRPr="00485A4C">
        <w:rPr>
          <w:rFonts w:ascii="Tahoma" w:hAnsi="Tahoma" w:cs="Tahoma"/>
          <w:sz w:val="22"/>
          <w:szCs w:val="22"/>
        </w:rPr>
        <w:t>Δεκεμβρίου</w:t>
      </w:r>
      <w:r w:rsidRPr="00485A4C">
        <w:rPr>
          <w:rFonts w:ascii="Tahoma" w:hAnsi="Tahoma" w:cs="Tahoma"/>
          <w:sz w:val="22"/>
          <w:szCs w:val="22"/>
        </w:rPr>
        <w:t xml:space="preserve"> 20</w:t>
      </w:r>
      <w:r w:rsidR="00C6077A" w:rsidRPr="00485A4C">
        <w:rPr>
          <w:rFonts w:ascii="Tahoma" w:hAnsi="Tahoma" w:cs="Tahoma"/>
          <w:sz w:val="22"/>
          <w:szCs w:val="22"/>
        </w:rPr>
        <w:t>1</w:t>
      </w:r>
      <w:r w:rsidR="00D94651">
        <w:rPr>
          <w:rFonts w:ascii="Tahoma" w:hAnsi="Tahoma" w:cs="Tahoma"/>
          <w:sz w:val="22"/>
          <w:szCs w:val="22"/>
          <w:lang w:val="en-US"/>
        </w:rPr>
        <w:t>8</w:t>
      </w:r>
      <w:r w:rsidRPr="00485A4C">
        <w:rPr>
          <w:rFonts w:ascii="Tahoma" w:hAnsi="Tahoma" w:cs="Tahoma"/>
          <w:sz w:val="22"/>
          <w:szCs w:val="22"/>
        </w:rPr>
        <w:t>, χρήση 1.</w:t>
      </w:r>
      <w:r w:rsidR="00E87A1F" w:rsidRPr="00485A4C">
        <w:rPr>
          <w:rFonts w:ascii="Tahoma" w:hAnsi="Tahoma" w:cs="Tahoma"/>
          <w:sz w:val="22"/>
          <w:szCs w:val="22"/>
        </w:rPr>
        <w:t>1</w:t>
      </w:r>
      <w:r w:rsidRPr="00485A4C">
        <w:rPr>
          <w:rFonts w:ascii="Tahoma" w:hAnsi="Tahoma" w:cs="Tahoma"/>
          <w:sz w:val="22"/>
          <w:szCs w:val="22"/>
        </w:rPr>
        <w:t>.20</w:t>
      </w:r>
      <w:r w:rsidR="00D75170" w:rsidRPr="00485A4C">
        <w:rPr>
          <w:rFonts w:ascii="Tahoma" w:hAnsi="Tahoma" w:cs="Tahoma"/>
          <w:sz w:val="22"/>
          <w:szCs w:val="22"/>
        </w:rPr>
        <w:t>1</w:t>
      </w:r>
      <w:r w:rsidR="00D94651">
        <w:rPr>
          <w:rFonts w:ascii="Tahoma" w:hAnsi="Tahoma" w:cs="Tahoma"/>
          <w:sz w:val="22"/>
          <w:szCs w:val="22"/>
          <w:lang w:val="en-US"/>
        </w:rPr>
        <w:t>8</w:t>
      </w:r>
      <w:r w:rsidRPr="00485A4C">
        <w:rPr>
          <w:rFonts w:ascii="Tahoma" w:hAnsi="Tahoma" w:cs="Tahoma"/>
          <w:sz w:val="22"/>
          <w:szCs w:val="22"/>
        </w:rPr>
        <w:t>-3</w:t>
      </w:r>
      <w:r w:rsidR="00E87A1F" w:rsidRPr="00485A4C">
        <w:rPr>
          <w:rFonts w:ascii="Tahoma" w:hAnsi="Tahoma" w:cs="Tahoma"/>
          <w:sz w:val="22"/>
          <w:szCs w:val="22"/>
        </w:rPr>
        <w:t>1</w:t>
      </w:r>
      <w:r w:rsidRPr="00485A4C">
        <w:rPr>
          <w:rFonts w:ascii="Tahoma" w:hAnsi="Tahoma" w:cs="Tahoma"/>
          <w:sz w:val="22"/>
          <w:szCs w:val="22"/>
        </w:rPr>
        <w:t>.</w:t>
      </w:r>
      <w:r w:rsidR="00E87A1F" w:rsidRPr="00485A4C">
        <w:rPr>
          <w:rFonts w:ascii="Tahoma" w:hAnsi="Tahoma" w:cs="Tahoma"/>
          <w:sz w:val="22"/>
          <w:szCs w:val="22"/>
        </w:rPr>
        <w:t>12</w:t>
      </w:r>
      <w:r w:rsidRPr="00485A4C">
        <w:rPr>
          <w:rFonts w:ascii="Tahoma" w:hAnsi="Tahoma" w:cs="Tahoma"/>
          <w:sz w:val="22"/>
          <w:szCs w:val="22"/>
        </w:rPr>
        <w:t>.20</w:t>
      </w:r>
      <w:r w:rsidR="00C6077A" w:rsidRPr="00485A4C">
        <w:rPr>
          <w:rFonts w:ascii="Tahoma" w:hAnsi="Tahoma" w:cs="Tahoma"/>
          <w:sz w:val="22"/>
          <w:szCs w:val="22"/>
        </w:rPr>
        <w:t>1</w:t>
      </w:r>
      <w:r w:rsidR="00D94651">
        <w:rPr>
          <w:rFonts w:ascii="Tahoma" w:hAnsi="Tahoma" w:cs="Tahoma"/>
          <w:sz w:val="22"/>
          <w:szCs w:val="22"/>
          <w:lang w:val="en-US"/>
        </w:rPr>
        <w:t>8</w:t>
      </w:r>
      <w:r w:rsidRPr="00485A4C">
        <w:rPr>
          <w:rFonts w:ascii="Tahoma" w:hAnsi="Tahoma" w:cs="Tahoma"/>
          <w:sz w:val="22"/>
          <w:szCs w:val="22"/>
        </w:rPr>
        <w:t xml:space="preserve">, έχουν συνταχθεί σύμφωνα με τα Διεθνή Πρότυπα Χρηματοοικονομικής Αναφοράς ¨Δ.Π.Χ.Α.¨ που έχουν εκδοθεί από το Συμβούλιο των Διεθνών Λογιστικών Προτύπων τα οποία είναι σχετικά με τις δραστηριότητες </w:t>
      </w:r>
      <w:r w:rsidR="00B43B57" w:rsidRPr="00485A4C">
        <w:rPr>
          <w:rFonts w:ascii="Tahoma" w:hAnsi="Tahoma" w:cs="Tahoma"/>
          <w:sz w:val="22"/>
          <w:szCs w:val="22"/>
        </w:rPr>
        <w:t>της εταιρείας</w:t>
      </w:r>
      <w:r w:rsidRPr="00485A4C">
        <w:rPr>
          <w:rFonts w:ascii="Tahoma" w:hAnsi="Tahoma" w:cs="Tahoma"/>
          <w:sz w:val="22"/>
          <w:szCs w:val="22"/>
        </w:rPr>
        <w:t xml:space="preserve">. </w:t>
      </w:r>
    </w:p>
    <w:p w:rsidR="0035043A" w:rsidRPr="00485A4C" w:rsidRDefault="0035043A"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 Ισολογισμός μετάβασης και οι οικονομικές καταστάσεις υπόκεινται στις διατάξεις του Δ.Π.Χ.</w:t>
      </w:r>
      <w:r w:rsidR="00E87A1F" w:rsidRPr="00485A4C">
        <w:rPr>
          <w:rFonts w:ascii="Tahoma" w:hAnsi="Tahoma" w:cs="Tahoma"/>
          <w:sz w:val="22"/>
          <w:szCs w:val="22"/>
        </w:rPr>
        <w:t>Α</w:t>
      </w:r>
      <w:r w:rsidRPr="00485A4C">
        <w:rPr>
          <w:rFonts w:ascii="Tahoma" w:hAnsi="Tahoma" w:cs="Tahoma"/>
          <w:sz w:val="22"/>
          <w:szCs w:val="22"/>
        </w:rPr>
        <w:t>.1 «Πρώτη εφαρμογή των Δ.Π.Χ.</w:t>
      </w:r>
      <w:r w:rsidR="00E87A1F" w:rsidRPr="00485A4C">
        <w:rPr>
          <w:rFonts w:ascii="Tahoma" w:hAnsi="Tahoma" w:cs="Tahoma"/>
          <w:sz w:val="22"/>
          <w:szCs w:val="22"/>
        </w:rPr>
        <w:t>Α</w:t>
      </w:r>
      <w:r w:rsidRPr="00485A4C">
        <w:rPr>
          <w:rFonts w:ascii="Tahoma" w:hAnsi="Tahoma" w:cs="Tahoma"/>
          <w:sz w:val="22"/>
          <w:szCs w:val="22"/>
        </w:rPr>
        <w:t>.», επειδή αποτελούν τις πρώτες οικονομικές καταστάσεις που καταρτίζονται με βάση τα Δ.Π.Χ.</w:t>
      </w:r>
      <w:r w:rsidR="00E87A1F" w:rsidRPr="00485A4C">
        <w:rPr>
          <w:rFonts w:ascii="Tahoma" w:hAnsi="Tahoma" w:cs="Tahoma"/>
          <w:sz w:val="22"/>
          <w:szCs w:val="22"/>
        </w:rPr>
        <w:t>Α</w:t>
      </w:r>
      <w:r w:rsidRPr="00485A4C">
        <w:rPr>
          <w:rFonts w:ascii="Tahoma" w:hAnsi="Tahoma" w:cs="Tahoma"/>
          <w:sz w:val="22"/>
          <w:szCs w:val="22"/>
        </w:rPr>
        <w:t>..</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Η σύνταξη των οικονομικών καταστάσεων σύμφωνα με τα Δ.Π.Χ.Α. απαιτεί τη χρήση ορισμένων λογιστικών εκτιμήσεων και παραδοχών. Επίσης, απαιτεί την άσκηση κρίσης από τη Διοίκηση κατά τη διαδικασία εφαρμογής των λογιστικών αρχών </w:t>
      </w:r>
      <w:r w:rsidR="00B43B57" w:rsidRPr="00485A4C">
        <w:rPr>
          <w:rFonts w:ascii="Tahoma" w:hAnsi="Tahoma" w:cs="Tahoma"/>
          <w:sz w:val="22"/>
          <w:szCs w:val="22"/>
        </w:rPr>
        <w:t>της εταιρείας</w:t>
      </w:r>
      <w:r w:rsidRPr="00485A4C">
        <w:rPr>
          <w:rFonts w:ascii="Tahoma" w:hAnsi="Tahoma" w:cs="Tahoma"/>
          <w:sz w:val="22"/>
          <w:szCs w:val="22"/>
        </w:rPr>
        <w:t>. Οι εκτιμήσεις και παραδοχές βασίζονται στην καλύτερη</w:t>
      </w:r>
      <w:r w:rsidR="00B43B57" w:rsidRPr="00485A4C">
        <w:rPr>
          <w:rFonts w:ascii="Tahoma" w:hAnsi="Tahoma" w:cs="Tahoma"/>
          <w:sz w:val="22"/>
          <w:szCs w:val="22"/>
        </w:rPr>
        <w:t xml:space="preserve"> δυνατή γνώση της Διοίκησης </w:t>
      </w:r>
      <w:r w:rsidRPr="00485A4C">
        <w:rPr>
          <w:rFonts w:ascii="Tahoma" w:hAnsi="Tahoma" w:cs="Tahoma"/>
          <w:sz w:val="22"/>
          <w:szCs w:val="22"/>
        </w:rPr>
        <w:t>σε σχέση µε τις τρέχουσες συνθήκες.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Οι περιοχές που απαιτούν μεγαλύτερο βαθμό άσκησης κρίσης ή πολυπλοκότητας, ή όπου οι εκτιμήσεις και παραδοχές είναι σημαντικές για τη σύνταξη των οικονομικών καταστάσεων, παρουσιάζονται στην παράγραφο </w:t>
      </w:r>
      <w:r w:rsidR="00662CB7" w:rsidRPr="00485A4C">
        <w:rPr>
          <w:rFonts w:ascii="Tahoma" w:hAnsi="Tahoma" w:cs="Tahoma"/>
          <w:sz w:val="22"/>
          <w:szCs w:val="22"/>
        </w:rPr>
        <w:t>(5</w:t>
      </w:r>
      <w:r w:rsidRPr="00485A4C">
        <w:rPr>
          <w:rFonts w:ascii="Tahoma" w:hAnsi="Tahoma" w:cs="Tahoma"/>
          <w:sz w:val="22"/>
          <w:szCs w:val="22"/>
        </w:rPr>
        <w:t>.</w:t>
      </w:r>
      <w:r w:rsidR="00F77896" w:rsidRPr="00485A4C">
        <w:rPr>
          <w:rFonts w:ascii="Tahoma" w:hAnsi="Tahoma" w:cs="Tahoma"/>
          <w:sz w:val="22"/>
          <w:szCs w:val="22"/>
        </w:rPr>
        <w:t>4</w:t>
      </w:r>
      <w:r w:rsidRPr="00485A4C">
        <w:rPr>
          <w:rFonts w:ascii="Tahoma" w:hAnsi="Tahoma" w:cs="Tahoma"/>
          <w:sz w:val="22"/>
          <w:szCs w:val="22"/>
        </w:rPr>
        <w:t>) κατωτέρω.</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Οι οικονομικές καταστάσεις συντάσσονται βάσει τ</w:t>
      </w:r>
      <w:r w:rsidR="00E87A1F" w:rsidRPr="00485A4C">
        <w:rPr>
          <w:rFonts w:ascii="Tahoma" w:hAnsi="Tahoma" w:cs="Tahoma"/>
          <w:sz w:val="22"/>
          <w:szCs w:val="22"/>
        </w:rPr>
        <w:t xml:space="preserve">ης αρχής του ιστορικού κόστους </w:t>
      </w:r>
      <w:r w:rsidRPr="00485A4C">
        <w:rPr>
          <w:rFonts w:ascii="Tahoma" w:hAnsi="Tahoma" w:cs="Tahoma"/>
          <w:sz w:val="22"/>
          <w:szCs w:val="22"/>
        </w:rPr>
        <w:t xml:space="preserve">και της αρχής της συνέχισης της λειτουργίας της.  </w:t>
      </w:r>
    </w:p>
    <w:p w:rsidR="009A02C8" w:rsidRPr="00485A4C" w:rsidRDefault="00B43B57"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lastRenderedPageBreak/>
        <w:t>Επίσης</w:t>
      </w:r>
      <w:r w:rsidR="009A02C8" w:rsidRPr="00485A4C">
        <w:rPr>
          <w:rFonts w:ascii="Tahoma" w:hAnsi="Tahoma" w:cs="Tahoma"/>
          <w:sz w:val="22"/>
          <w:szCs w:val="22"/>
        </w:rPr>
        <w:t xml:space="preserve"> παρουσιάζονται σε (€), που είναι το λειτουργικό νόµισµα και το νόµισµα παρουσίασης της Εταιρείας.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Δεν υπάρχουν πρότυπα που να έχουν εφαρμοστεί πριν από την ημερομηνία έναρξης της εφαρμογής τους.</w:t>
      </w:r>
    </w:p>
    <w:p w:rsidR="00662CB7" w:rsidRPr="00485A4C" w:rsidRDefault="00662CB7" w:rsidP="009A02C8">
      <w:pPr>
        <w:autoSpaceDE w:val="0"/>
        <w:autoSpaceDN w:val="0"/>
        <w:adjustRightInd w:val="0"/>
        <w:spacing w:line="360" w:lineRule="auto"/>
        <w:ind w:left="-540"/>
        <w:jc w:val="both"/>
        <w:rPr>
          <w:rFonts w:ascii="Tahoma" w:hAnsi="Tahoma" w:cs="Tahoma"/>
          <w:sz w:val="22"/>
          <w:szCs w:val="22"/>
          <w:highlight w:val="red"/>
        </w:rPr>
      </w:pPr>
    </w:p>
    <w:p w:rsidR="009A02C8" w:rsidRPr="00485A4C" w:rsidRDefault="00662CB7" w:rsidP="009A02C8">
      <w:pPr>
        <w:autoSpaceDE w:val="0"/>
        <w:autoSpaceDN w:val="0"/>
        <w:adjustRightInd w:val="0"/>
        <w:spacing w:line="360" w:lineRule="auto"/>
        <w:ind w:left="-540"/>
        <w:rPr>
          <w:rFonts w:ascii="Tahoma" w:hAnsi="Tahoma" w:cs="Tahoma"/>
          <w:b/>
          <w:sz w:val="22"/>
          <w:szCs w:val="22"/>
        </w:rPr>
      </w:pPr>
      <w:bookmarkStart w:id="16" w:name="_Toc200542360"/>
      <w:r w:rsidRPr="00485A4C">
        <w:rPr>
          <w:rFonts w:ascii="Tahoma" w:hAnsi="Tahoma" w:cs="Tahoma"/>
          <w:b/>
          <w:sz w:val="22"/>
          <w:szCs w:val="22"/>
        </w:rPr>
        <w:t xml:space="preserve">5.2 </w:t>
      </w:r>
      <w:bookmarkEnd w:id="16"/>
      <w:r w:rsidR="009A02C8" w:rsidRPr="00485A4C">
        <w:rPr>
          <w:rFonts w:ascii="Tahoma" w:hAnsi="Tahoma" w:cs="Tahoma"/>
          <w:b/>
          <w:sz w:val="22"/>
          <w:szCs w:val="22"/>
        </w:rPr>
        <w:t>Νέα πρότυπα και διερμηνείες</w:t>
      </w:r>
    </w:p>
    <w:p w:rsidR="004517AF" w:rsidRPr="00485A4C" w:rsidRDefault="004517AF" w:rsidP="004517AF">
      <w:pPr>
        <w:spacing w:line="360" w:lineRule="auto"/>
        <w:ind w:left="-567"/>
        <w:jc w:val="both"/>
        <w:rPr>
          <w:rFonts w:ascii="Tahoma" w:hAnsi="Tahoma" w:cs="Tahoma"/>
          <w:color w:val="000000"/>
          <w:sz w:val="22"/>
          <w:szCs w:val="22"/>
        </w:rPr>
      </w:pPr>
      <w:r w:rsidRPr="00485A4C">
        <w:rPr>
          <w:rFonts w:ascii="Tahoma" w:hAnsi="Tahoma" w:cs="Tahoma"/>
          <w:color w:val="000000"/>
          <w:sz w:val="22"/>
          <w:szCs w:val="22"/>
        </w:rPr>
        <w:t>Οι λογιστικές αρχές είναι σύμφωνες με αυτές που χρησιμοποιήθηκαν για την σύνταξη των οικονομικών καταστάσεων για τη χρήση που έληξε την 31 Δεκεμβρίου 2016, εκτός από την υιοθέτηση των νέων προτύπων που είναι υποχρεωτικά για χρήσεις με έναρξη την 1 Ιανουαρίου 2017.</w:t>
      </w:r>
    </w:p>
    <w:p w:rsidR="004517AF" w:rsidRPr="00485A4C" w:rsidRDefault="004517AF" w:rsidP="004517AF">
      <w:pPr>
        <w:spacing w:line="360" w:lineRule="auto"/>
        <w:ind w:left="-567"/>
        <w:jc w:val="both"/>
        <w:rPr>
          <w:rFonts w:ascii="Tahoma" w:hAnsi="Tahoma" w:cs="Tahoma"/>
          <w:b/>
          <w:bCs/>
          <w:i/>
          <w:iCs/>
          <w:sz w:val="22"/>
          <w:szCs w:val="22"/>
          <w:highlight w:val="yellow"/>
          <w:u w:val="single"/>
          <w:lang w:eastAsia="x-none"/>
        </w:rPr>
      </w:pPr>
    </w:p>
    <w:p w:rsidR="004517AF" w:rsidRPr="00485A4C" w:rsidRDefault="004517AF" w:rsidP="004517AF">
      <w:pPr>
        <w:spacing w:line="360" w:lineRule="auto"/>
        <w:ind w:left="-567"/>
        <w:jc w:val="both"/>
        <w:rPr>
          <w:rFonts w:ascii="Tahoma" w:hAnsi="Tahoma" w:cs="Tahoma"/>
          <w:b/>
          <w:bCs/>
          <w:i/>
          <w:iCs/>
          <w:sz w:val="22"/>
          <w:szCs w:val="22"/>
          <w:u w:val="single"/>
          <w:lang w:eastAsia="x-none"/>
        </w:rPr>
      </w:pPr>
      <w:r w:rsidRPr="00485A4C">
        <w:rPr>
          <w:rFonts w:ascii="Tahoma" w:hAnsi="Tahoma" w:cs="Tahoma"/>
          <w:b/>
          <w:bCs/>
          <w:i/>
          <w:iCs/>
          <w:sz w:val="22"/>
          <w:szCs w:val="22"/>
          <w:u w:val="single"/>
          <w:lang w:eastAsia="x-none"/>
        </w:rPr>
        <w:t>Πρότυπα και Διερμηνείες υποχρεωτικά  για την τρέχουσα οικονομική χρήση 201</w:t>
      </w:r>
      <w:r w:rsidR="00A176C5">
        <w:rPr>
          <w:rFonts w:ascii="Tahoma" w:hAnsi="Tahoma" w:cs="Tahoma"/>
          <w:b/>
          <w:bCs/>
          <w:i/>
          <w:iCs/>
          <w:sz w:val="22"/>
          <w:szCs w:val="22"/>
          <w:u w:val="single"/>
          <w:lang w:eastAsia="x-none"/>
        </w:rPr>
        <w:t>8</w:t>
      </w:r>
    </w:p>
    <w:p w:rsidR="004517AF" w:rsidRPr="00485A4C" w:rsidRDefault="004517AF" w:rsidP="004517AF">
      <w:pPr>
        <w:spacing w:line="360" w:lineRule="auto"/>
        <w:ind w:left="-567"/>
        <w:jc w:val="both"/>
        <w:rPr>
          <w:rFonts w:ascii="Tahoma" w:hAnsi="Tahoma" w:cs="Tahoma"/>
          <w:b/>
          <w:bCs/>
          <w:i/>
          <w:iCs/>
          <w:sz w:val="22"/>
          <w:szCs w:val="22"/>
          <w:lang w:eastAsia="x-none"/>
        </w:rPr>
      </w:pPr>
      <w:r w:rsidRPr="00485A4C">
        <w:rPr>
          <w:rFonts w:ascii="Tahoma" w:hAnsi="Tahoma" w:cs="Tahoma"/>
          <w:b/>
          <w:bCs/>
          <w:i/>
          <w:iCs/>
          <w:sz w:val="22"/>
          <w:szCs w:val="22"/>
          <w:lang w:eastAsia="x-none"/>
        </w:rPr>
        <w:t>ΔΛΠ 7 (Τροποποίηση) «Κατάσταση Ταμειακών Ροών»: Πρωτοβουλία γνωστοποιήσεων</w:t>
      </w:r>
    </w:p>
    <w:p w:rsidR="004517AF" w:rsidRPr="00485A4C" w:rsidRDefault="004517AF" w:rsidP="004517AF">
      <w:pPr>
        <w:spacing w:line="360" w:lineRule="auto"/>
        <w:ind w:left="-567"/>
        <w:jc w:val="both"/>
        <w:rPr>
          <w:rFonts w:ascii="Tahoma" w:hAnsi="Tahoma" w:cs="Tahoma"/>
          <w:bCs/>
          <w:iCs/>
          <w:sz w:val="22"/>
          <w:szCs w:val="22"/>
          <w:lang w:eastAsia="x-none"/>
        </w:rPr>
      </w:pPr>
      <w:r w:rsidRPr="00485A4C">
        <w:rPr>
          <w:rFonts w:ascii="Tahoma" w:hAnsi="Tahoma" w:cs="Tahoma"/>
          <w:bCs/>
          <w:iCs/>
          <w:sz w:val="22"/>
          <w:szCs w:val="22"/>
          <w:lang w:eastAsia="x-none"/>
        </w:rPr>
        <w:t>Η τροποποίηση εφαρμόζεται σε ετήσιες λογιστικές περιόδους που ξεκινούν την ή μετά την 1.1.2017. Την 29.1.2016 το Συμβούλιο των Διεθνών Λογιστικών Προτύ</w:t>
      </w:r>
      <w:r w:rsidRPr="00485A4C">
        <w:rPr>
          <w:rFonts w:ascii="Tahoma" w:hAnsi="Tahoma" w:cs="Tahoma"/>
          <w:bCs/>
          <w:iCs/>
          <w:sz w:val="22"/>
          <w:szCs w:val="22"/>
          <w:lang w:eastAsia="x-none"/>
        </w:rPr>
        <w:softHyphen/>
        <w:t>πων εξέδωσε τροποποίηση στο ΔΛΠ 7 βάσει της οποίας μία εταιρία καλείται να παρέχει γνωστοποιήσεις οι οποίες βοη</w:t>
      </w:r>
      <w:r w:rsidRPr="00485A4C">
        <w:rPr>
          <w:rFonts w:ascii="Tahoma" w:hAnsi="Tahoma" w:cs="Tahoma"/>
          <w:bCs/>
          <w:iCs/>
          <w:sz w:val="22"/>
          <w:szCs w:val="22"/>
          <w:lang w:eastAsia="x-none"/>
        </w:rPr>
        <w:softHyphen/>
        <w:t>θούν τους χρήστες των οικονομικών καταστάσεων να αξιολο</w:t>
      </w:r>
      <w:r w:rsidRPr="00485A4C">
        <w:rPr>
          <w:rFonts w:ascii="Tahoma" w:hAnsi="Tahoma" w:cs="Tahoma"/>
          <w:bCs/>
          <w:iCs/>
          <w:sz w:val="22"/>
          <w:szCs w:val="22"/>
          <w:lang w:eastAsia="x-none"/>
        </w:rPr>
        <w:softHyphen/>
        <w:t>γήσουν τις μεταβολές εκείνων των υποχρεώσεων των οποί</w:t>
      </w:r>
      <w:r w:rsidRPr="00485A4C">
        <w:rPr>
          <w:rFonts w:ascii="Tahoma" w:hAnsi="Tahoma" w:cs="Tahoma"/>
          <w:bCs/>
          <w:iCs/>
          <w:sz w:val="22"/>
          <w:szCs w:val="22"/>
          <w:lang w:eastAsia="x-none"/>
        </w:rPr>
        <w:softHyphen/>
        <w:t>ων οι ταμειακές ροές ταξινομούνται στις χρηματοδοτικές δραστηριότητες στην κατάσταση ταμειακών ροών. Οι μεταβολές που θα πρέπει να γνωστοποιούνται, οι οποίες δεν είναι απα</w:t>
      </w:r>
      <w:r w:rsidRPr="00485A4C">
        <w:rPr>
          <w:rFonts w:ascii="Tahoma" w:hAnsi="Tahoma" w:cs="Tahoma"/>
          <w:bCs/>
          <w:iCs/>
          <w:sz w:val="22"/>
          <w:szCs w:val="22"/>
          <w:lang w:eastAsia="x-none"/>
        </w:rPr>
        <w:softHyphen/>
        <w:t>ραίτητο να είναι ταμειακές, περιλαμβάνουν  τις μεταβολές από ταμειακές ροές χρηματοδοτικών δρα</w:t>
      </w:r>
      <w:r w:rsidRPr="00485A4C">
        <w:rPr>
          <w:rFonts w:ascii="Tahoma" w:hAnsi="Tahoma" w:cs="Tahoma"/>
          <w:bCs/>
          <w:iCs/>
          <w:sz w:val="22"/>
          <w:szCs w:val="22"/>
          <w:lang w:eastAsia="x-none"/>
        </w:rPr>
        <w:softHyphen/>
        <w:t>στηριοτήτων, τις μεταβολές που απορρέουν από την απόκτηση ή απώ</w:t>
      </w:r>
      <w:r w:rsidRPr="00485A4C">
        <w:rPr>
          <w:rFonts w:ascii="Tahoma" w:hAnsi="Tahoma" w:cs="Tahoma"/>
          <w:bCs/>
          <w:iCs/>
          <w:sz w:val="22"/>
          <w:szCs w:val="22"/>
          <w:lang w:eastAsia="x-none"/>
        </w:rPr>
        <w:softHyphen/>
        <w:t>λεια ελέγχου θυγατρικών ή άλλων εταιριών, τις μεταβολές από συναλλαγματικές διαφορές, τις μεταβολές της εύλογης αξίας και λοιπές μεταβολές.</w:t>
      </w:r>
    </w:p>
    <w:p w:rsidR="004517AF" w:rsidRPr="00485A4C" w:rsidRDefault="004517AF" w:rsidP="004517AF">
      <w:pPr>
        <w:spacing w:line="360" w:lineRule="auto"/>
        <w:ind w:left="-567"/>
        <w:jc w:val="both"/>
        <w:rPr>
          <w:rFonts w:ascii="Tahoma" w:hAnsi="Tahoma" w:cs="Tahoma"/>
          <w:b/>
          <w:bCs/>
          <w:i/>
          <w:iCs/>
          <w:sz w:val="22"/>
          <w:szCs w:val="22"/>
          <w:lang w:eastAsia="x-none"/>
        </w:rPr>
      </w:pPr>
      <w:r w:rsidRPr="00485A4C">
        <w:rPr>
          <w:rFonts w:ascii="Tahoma" w:hAnsi="Tahoma" w:cs="Tahoma"/>
          <w:b/>
          <w:bCs/>
          <w:i/>
          <w:iCs/>
          <w:sz w:val="22"/>
          <w:szCs w:val="22"/>
          <w:lang w:eastAsia="x-none"/>
        </w:rPr>
        <w:t>ΔΛΠ 12 (Τροποποίηση) «Φόροι Εισοδήματος»: Αναγνώριση αναβαλλόμενων φορολογικών απαιτήσεων για μη πραγματοποιηθείσες ζημίες</w:t>
      </w:r>
    </w:p>
    <w:p w:rsidR="004517AF" w:rsidRPr="00485A4C" w:rsidRDefault="004517AF" w:rsidP="004517AF">
      <w:pPr>
        <w:spacing w:line="360" w:lineRule="auto"/>
        <w:ind w:left="-567"/>
        <w:jc w:val="both"/>
        <w:rPr>
          <w:rFonts w:ascii="Tahoma" w:hAnsi="Tahoma" w:cs="Tahoma"/>
          <w:bCs/>
          <w:iCs/>
          <w:sz w:val="22"/>
          <w:szCs w:val="22"/>
          <w:lang w:eastAsia="x-none"/>
        </w:rPr>
      </w:pPr>
      <w:r w:rsidRPr="00485A4C">
        <w:rPr>
          <w:rFonts w:ascii="Tahoma" w:hAnsi="Tahoma" w:cs="Tahoma"/>
          <w:bCs/>
          <w:iCs/>
          <w:sz w:val="22"/>
          <w:szCs w:val="22"/>
          <w:lang w:eastAsia="x-none"/>
        </w:rPr>
        <w:t>Την 19.1.2016 το Συμβούλιο των Διεθνών Λογιστικών Προτύ</w:t>
      </w:r>
      <w:r w:rsidRPr="00485A4C">
        <w:rPr>
          <w:rFonts w:ascii="Tahoma" w:hAnsi="Tahoma" w:cs="Tahoma"/>
          <w:bCs/>
          <w:iCs/>
          <w:sz w:val="22"/>
          <w:szCs w:val="22"/>
          <w:lang w:eastAsia="x-none"/>
        </w:rPr>
        <w:softHyphen/>
        <w:t>πων εξέδωσε τροποποίηση στο ΔΛΠ 12 με την οποία αποσα</w:t>
      </w:r>
      <w:r w:rsidRPr="00485A4C">
        <w:rPr>
          <w:rFonts w:ascii="Tahoma" w:hAnsi="Tahoma" w:cs="Tahoma"/>
          <w:bCs/>
          <w:iCs/>
          <w:sz w:val="22"/>
          <w:szCs w:val="22"/>
          <w:lang w:eastAsia="x-none"/>
        </w:rPr>
        <w:softHyphen/>
        <w:t>φήνισε ότι:</w:t>
      </w:r>
    </w:p>
    <w:p w:rsidR="004517AF" w:rsidRPr="00485A4C" w:rsidRDefault="004517AF" w:rsidP="004517AF">
      <w:pPr>
        <w:spacing w:line="360" w:lineRule="auto"/>
        <w:ind w:left="-567"/>
        <w:jc w:val="both"/>
        <w:rPr>
          <w:rFonts w:ascii="Tahoma" w:hAnsi="Tahoma" w:cs="Tahoma"/>
          <w:bCs/>
          <w:iCs/>
          <w:sz w:val="22"/>
          <w:szCs w:val="22"/>
          <w:lang w:eastAsia="x-none"/>
        </w:rPr>
      </w:pPr>
      <w:r w:rsidRPr="00485A4C">
        <w:rPr>
          <w:rFonts w:ascii="Tahoma" w:hAnsi="Tahoma" w:cs="Tahoma"/>
          <w:bCs/>
          <w:iCs/>
          <w:sz w:val="22"/>
          <w:szCs w:val="22"/>
          <w:lang w:eastAsia="x-none"/>
        </w:rPr>
        <w:t>•    Οι μη πραγματοποιηθείσες ζημίες χρεωστικών μέσων, τα οποία αποτιμώνται για λογιστικούς σκοπούς στην εύλογη αξία και για φορολογικούς σκοπούς στο κόστος, δύνανται να οδηγήσουν σε εκπεστέες προσωρινές διαφορές ανεξάρ</w:t>
      </w:r>
      <w:r w:rsidRPr="00485A4C">
        <w:rPr>
          <w:rFonts w:ascii="Tahoma" w:hAnsi="Tahoma" w:cs="Tahoma"/>
          <w:bCs/>
          <w:iCs/>
          <w:sz w:val="22"/>
          <w:szCs w:val="22"/>
          <w:lang w:eastAsia="x-none"/>
        </w:rPr>
        <w:softHyphen/>
        <w:t>τητα με το αν ο κάτοχός τους πρόκειται να ανακτήσει την αξία των στοιχείων μέσω της πώλησης ή της χρήσης τους.</w:t>
      </w:r>
    </w:p>
    <w:p w:rsidR="004517AF" w:rsidRPr="00485A4C" w:rsidRDefault="004517AF" w:rsidP="004517AF">
      <w:pPr>
        <w:spacing w:line="360" w:lineRule="auto"/>
        <w:ind w:left="-567"/>
        <w:jc w:val="both"/>
        <w:rPr>
          <w:rFonts w:ascii="Tahoma" w:hAnsi="Tahoma" w:cs="Tahoma"/>
          <w:bCs/>
          <w:iCs/>
          <w:sz w:val="22"/>
          <w:szCs w:val="22"/>
          <w:lang w:eastAsia="x-none"/>
        </w:rPr>
      </w:pPr>
      <w:r w:rsidRPr="00485A4C">
        <w:rPr>
          <w:rFonts w:ascii="Tahoma" w:hAnsi="Tahoma" w:cs="Tahoma"/>
          <w:bCs/>
          <w:iCs/>
          <w:sz w:val="22"/>
          <w:szCs w:val="22"/>
          <w:lang w:eastAsia="x-none"/>
        </w:rPr>
        <w:lastRenderedPageBreak/>
        <w:t>•    Η ανακτησιμότητα μίας αναβαλλόμενης φορολογικής απαί</w:t>
      </w:r>
      <w:r w:rsidRPr="00485A4C">
        <w:rPr>
          <w:rFonts w:ascii="Tahoma" w:hAnsi="Tahoma" w:cs="Tahoma"/>
          <w:bCs/>
          <w:iCs/>
          <w:sz w:val="22"/>
          <w:szCs w:val="22"/>
          <w:lang w:eastAsia="x-none"/>
        </w:rPr>
        <w:softHyphen/>
        <w:t>τησης εξετάζεται σε συνδυασμό με τις λοιπές αναβαλλόμε</w:t>
      </w:r>
      <w:r w:rsidRPr="00485A4C">
        <w:rPr>
          <w:rFonts w:ascii="Tahoma" w:hAnsi="Tahoma" w:cs="Tahoma"/>
          <w:bCs/>
          <w:iCs/>
          <w:sz w:val="22"/>
          <w:szCs w:val="22"/>
          <w:lang w:eastAsia="x-none"/>
        </w:rPr>
        <w:softHyphen/>
        <w:t>νες φορολογικές απαιτήσεις. Στην περίπτωση, ωστόσο, που ο φορολογικός νόμος περιορίζει το συμψηφισμό συγκεκρι</w:t>
      </w:r>
      <w:r w:rsidRPr="00485A4C">
        <w:rPr>
          <w:rFonts w:ascii="Tahoma" w:hAnsi="Tahoma" w:cs="Tahoma"/>
          <w:bCs/>
          <w:iCs/>
          <w:sz w:val="22"/>
          <w:szCs w:val="22"/>
          <w:lang w:eastAsia="x-none"/>
        </w:rPr>
        <w:softHyphen/>
        <w:t>μένων φορολογητέων ζημιών με συγκεκριμένες κατηγορί</w:t>
      </w:r>
      <w:r w:rsidRPr="00485A4C">
        <w:rPr>
          <w:rFonts w:ascii="Tahoma" w:hAnsi="Tahoma" w:cs="Tahoma"/>
          <w:bCs/>
          <w:iCs/>
          <w:sz w:val="22"/>
          <w:szCs w:val="22"/>
          <w:lang w:eastAsia="x-none"/>
        </w:rPr>
        <w:softHyphen/>
        <w:t>ες εισοδήματος, οι σχετικές εκπεστέες προσωρινές διαφο</w:t>
      </w:r>
      <w:r w:rsidRPr="00485A4C">
        <w:rPr>
          <w:rFonts w:ascii="Tahoma" w:hAnsi="Tahoma" w:cs="Tahoma"/>
          <w:bCs/>
          <w:iCs/>
          <w:sz w:val="22"/>
          <w:szCs w:val="22"/>
          <w:lang w:eastAsia="x-none"/>
        </w:rPr>
        <w:softHyphen/>
        <w:t>ρές θα πρέπει να εξετάζονται μόνο σε συνδυασμό με άλ</w:t>
      </w:r>
      <w:r w:rsidRPr="00485A4C">
        <w:rPr>
          <w:rFonts w:ascii="Tahoma" w:hAnsi="Tahoma" w:cs="Tahoma"/>
          <w:bCs/>
          <w:iCs/>
          <w:sz w:val="22"/>
          <w:szCs w:val="22"/>
          <w:lang w:eastAsia="x-none"/>
        </w:rPr>
        <w:softHyphen/>
        <w:t>λες εκπεστέες προσωρινές διαφορές της ίδιας κατηγορίας.</w:t>
      </w:r>
    </w:p>
    <w:p w:rsidR="004517AF" w:rsidRPr="00485A4C" w:rsidRDefault="004517AF" w:rsidP="004517AF">
      <w:pPr>
        <w:spacing w:line="360" w:lineRule="auto"/>
        <w:ind w:left="-567"/>
        <w:jc w:val="both"/>
        <w:rPr>
          <w:rFonts w:ascii="Tahoma" w:hAnsi="Tahoma" w:cs="Tahoma"/>
          <w:bCs/>
          <w:iCs/>
          <w:sz w:val="22"/>
          <w:szCs w:val="22"/>
          <w:lang w:eastAsia="x-none"/>
        </w:rPr>
      </w:pPr>
      <w:r w:rsidRPr="00485A4C">
        <w:rPr>
          <w:rFonts w:ascii="Tahoma" w:hAnsi="Tahoma" w:cs="Tahoma"/>
          <w:bCs/>
          <w:iCs/>
          <w:sz w:val="22"/>
          <w:szCs w:val="22"/>
          <w:lang w:eastAsia="x-none"/>
        </w:rPr>
        <w:t>•    Κατά τον έλεγχο ανακτησιμότητας των αναβαλλόμενων φορολογικών απαιτήσεων, συγκρίνονται οι εκπεστέες φο</w:t>
      </w:r>
      <w:r w:rsidRPr="00485A4C">
        <w:rPr>
          <w:rFonts w:ascii="Tahoma" w:hAnsi="Tahoma" w:cs="Tahoma"/>
          <w:bCs/>
          <w:iCs/>
          <w:sz w:val="22"/>
          <w:szCs w:val="22"/>
          <w:lang w:eastAsia="x-none"/>
        </w:rPr>
        <w:softHyphen/>
        <w:t>ρολογικές διαφορές με τα μελλοντικά φορολογητέα κέρ</w:t>
      </w:r>
      <w:r w:rsidRPr="00485A4C">
        <w:rPr>
          <w:rFonts w:ascii="Tahoma" w:hAnsi="Tahoma" w:cs="Tahoma"/>
          <w:bCs/>
          <w:iCs/>
          <w:sz w:val="22"/>
          <w:szCs w:val="22"/>
          <w:lang w:eastAsia="x-none"/>
        </w:rPr>
        <w:softHyphen/>
        <w:t>δη χωρίς να λαμβάνονται υπόψη οι εκπτώσεις φόρου που προέρχονται από την αντιστροφή αναβαλλόμενων φορο</w:t>
      </w:r>
      <w:r w:rsidRPr="00485A4C">
        <w:rPr>
          <w:rFonts w:ascii="Tahoma" w:hAnsi="Tahoma" w:cs="Tahoma"/>
          <w:bCs/>
          <w:iCs/>
          <w:sz w:val="22"/>
          <w:szCs w:val="22"/>
          <w:lang w:eastAsia="x-none"/>
        </w:rPr>
        <w:softHyphen/>
        <w:t>λογικών απαιτήσεων.</w:t>
      </w:r>
    </w:p>
    <w:p w:rsidR="004517AF" w:rsidRPr="00485A4C" w:rsidRDefault="004517AF" w:rsidP="004517AF">
      <w:pPr>
        <w:spacing w:line="360" w:lineRule="auto"/>
        <w:ind w:left="-567"/>
        <w:jc w:val="both"/>
        <w:rPr>
          <w:rFonts w:ascii="Tahoma" w:hAnsi="Tahoma" w:cs="Tahoma"/>
          <w:color w:val="000000"/>
          <w:sz w:val="22"/>
          <w:szCs w:val="22"/>
          <w:highlight w:val="yellow"/>
        </w:rPr>
      </w:pPr>
      <w:r w:rsidRPr="00485A4C">
        <w:rPr>
          <w:rFonts w:ascii="Tahoma" w:hAnsi="Tahoma" w:cs="Tahoma"/>
          <w:bCs/>
          <w:iCs/>
          <w:sz w:val="22"/>
          <w:szCs w:val="22"/>
          <w:lang w:eastAsia="x-none"/>
        </w:rPr>
        <w:t xml:space="preserve">Η τροποποίηση εφαρμόζεται σε ετήσιες λογιστικές περιόδους που ξεκινούν την ή μετά την 1.1.2017. </w:t>
      </w:r>
    </w:p>
    <w:p w:rsidR="004517AF" w:rsidRPr="00485A4C" w:rsidRDefault="004517AF" w:rsidP="004517AF">
      <w:pPr>
        <w:spacing w:line="360" w:lineRule="auto"/>
        <w:ind w:left="-567"/>
        <w:jc w:val="both"/>
        <w:rPr>
          <w:rFonts w:ascii="Tahoma" w:hAnsi="Tahoma" w:cs="Tahoma"/>
          <w:b/>
          <w:bCs/>
          <w:iCs/>
          <w:sz w:val="22"/>
          <w:szCs w:val="22"/>
          <w:highlight w:val="yellow"/>
          <w:lang w:eastAsia="x-none"/>
        </w:rPr>
      </w:pPr>
    </w:p>
    <w:p w:rsidR="004517AF" w:rsidRPr="00485A4C" w:rsidRDefault="004517AF" w:rsidP="004517AF">
      <w:pPr>
        <w:spacing w:line="360" w:lineRule="auto"/>
        <w:ind w:left="-567"/>
        <w:jc w:val="both"/>
        <w:rPr>
          <w:rFonts w:ascii="Tahoma" w:hAnsi="Tahoma" w:cs="Tahoma"/>
          <w:b/>
          <w:bCs/>
          <w:i/>
          <w:iCs/>
          <w:sz w:val="22"/>
          <w:szCs w:val="22"/>
          <w:lang w:eastAsia="x-none"/>
        </w:rPr>
      </w:pPr>
      <w:r w:rsidRPr="00485A4C">
        <w:rPr>
          <w:rFonts w:ascii="Tahoma" w:hAnsi="Tahoma" w:cs="Tahoma"/>
          <w:b/>
          <w:bCs/>
          <w:i/>
          <w:iCs/>
          <w:sz w:val="22"/>
          <w:szCs w:val="22"/>
          <w:lang w:eastAsia="x-none"/>
        </w:rPr>
        <w:t xml:space="preserve">Πρότυπα και Διερμηνείες υποχρεωτικά για μεταγενέστερες περιόδους που δεν έχουν εφαρμοστεί νωρίτερα από την Εταιρεία </w:t>
      </w:r>
    </w:p>
    <w:p w:rsidR="004517AF" w:rsidRPr="00485A4C" w:rsidRDefault="004517AF" w:rsidP="004517AF">
      <w:pPr>
        <w:spacing w:line="360" w:lineRule="auto"/>
        <w:ind w:left="-567"/>
        <w:jc w:val="both"/>
        <w:rPr>
          <w:rFonts w:ascii="Tahoma" w:hAnsi="Tahoma" w:cs="Tahoma"/>
          <w:bCs/>
          <w:sz w:val="22"/>
          <w:szCs w:val="22"/>
          <w:lang w:eastAsia="x-none"/>
        </w:rPr>
      </w:pPr>
      <w:r w:rsidRPr="00485A4C">
        <w:rPr>
          <w:rFonts w:ascii="Tahoma" w:hAnsi="Tahoma" w:cs="Tahoma"/>
          <w:bCs/>
          <w:sz w:val="22"/>
          <w:szCs w:val="22"/>
          <w:lang w:eastAsia="x-none"/>
        </w:rPr>
        <w:t>Τα παρακάτω νέα πρότυπα, τροποποιήσεις προτύπων και διερμηνείες έχουν εκδοθεί αλλά  είναι υποχρεωτικά για μεταγενέστερες περιόδους. Η Εταιρεία δεν έχει εφαρμόσει νωρίτερα τα κατωτέρω πρότυπα και μελετά την επίδραση τους στις οικονομικές καταστάσεις.</w:t>
      </w:r>
    </w:p>
    <w:p w:rsidR="004517AF" w:rsidRPr="00485A4C" w:rsidRDefault="004517AF" w:rsidP="004517AF">
      <w:pPr>
        <w:spacing w:line="360" w:lineRule="auto"/>
        <w:ind w:left="-567"/>
        <w:jc w:val="both"/>
        <w:rPr>
          <w:rFonts w:ascii="Tahoma" w:hAnsi="Tahoma" w:cs="Tahoma"/>
          <w:b/>
          <w:bCs/>
          <w:i/>
          <w:iCs/>
          <w:sz w:val="22"/>
          <w:szCs w:val="22"/>
          <w:lang w:eastAsia="x-none"/>
        </w:rPr>
      </w:pPr>
      <w:r w:rsidRPr="00485A4C">
        <w:rPr>
          <w:rFonts w:ascii="Tahoma" w:hAnsi="Tahoma" w:cs="Tahoma"/>
          <w:b/>
          <w:bCs/>
          <w:i/>
          <w:iCs/>
          <w:sz w:val="22"/>
          <w:szCs w:val="22"/>
          <w:lang w:eastAsia="x-none"/>
        </w:rPr>
        <w:t>ΔΠΧΑ 9 «Χρηματοοικονομικά μέσα»</w:t>
      </w:r>
    </w:p>
    <w:p w:rsidR="004517AF" w:rsidRPr="00485A4C" w:rsidRDefault="004517AF" w:rsidP="004517AF">
      <w:pPr>
        <w:spacing w:line="360" w:lineRule="auto"/>
        <w:ind w:left="-567"/>
        <w:jc w:val="both"/>
        <w:rPr>
          <w:rFonts w:ascii="Tahoma" w:hAnsi="Tahoma" w:cs="Tahoma"/>
          <w:bCs/>
          <w:iCs/>
          <w:sz w:val="22"/>
          <w:szCs w:val="22"/>
          <w:lang w:eastAsia="x-none"/>
        </w:rPr>
      </w:pPr>
      <w:r w:rsidRPr="00485A4C">
        <w:rPr>
          <w:rFonts w:ascii="Tahoma" w:hAnsi="Tahoma" w:cs="Tahoma"/>
          <w:bCs/>
          <w:iCs/>
          <w:sz w:val="22"/>
          <w:szCs w:val="22"/>
          <w:lang w:eastAsia="x-none"/>
        </w:rPr>
        <w:t>Στις 24 Ιουλίου 2014 το Συμβούλιο εξέδωσε την τελική έκδοση του ΔΠΧΑ 9, το οποίο περιλαμβάνει την ταξινόμηση και επιμέτρηση, την απομείωση και τη λογιστική αντιστάθμισης. Το πρότυπο θα αντικαταστήσει το ΔΛΠ 39 και όλες τις προηγούμενες εκδόσεις του ΔΠΧΑ 9. Τα χρηματοοικονομικά περιουσιακά στοιχεία αποτιμώνται στο αναπόσβεστο κόστος, στην εύλογη αξία μέσω των αποτελεσμάτων, ή στην εύλογη αξία μέσω των λοιπών συνολικών εσόδων, με βάση το επιχειρηματικό μοντέλο της επιχείρησης για τη διαχείριση των χρηματοοικονομικών περιουσιακών στοιχείων και των συμβατικών ταμειακών ροών των χρηματοοικονομικών περιουσιακών στοιχείων. Εκτός από τον πιστωτικό κίνδυνο της οντότητας, η ταξινόμηση και επιμέτρηση των χρηματοοικονομικών υποχρεώσεων δεν έχει αλλάξει σε σχέση με τις υπάρχουσες απαιτήσεις. Η Εταιρεία  βρίσκεται στη διαδικασία εκτίμησης της επίδρασης του ΔΠΧΑ 9 στις οικονομικές της καταστάσεις. Το ΔΠΧΑ 9 εφαρμόζεται υποχρεωτικά σε ετήσιες λογιστικές περιόδους που ξεκινούν την ή μετά την 1 Ιανουαρίου 2018 και υιοθετήθηκε από την Ευρωπαϊκή Ένωση στις 22 Νοεμβρίου 2016..</w:t>
      </w:r>
    </w:p>
    <w:p w:rsidR="004517AF" w:rsidRPr="00485A4C" w:rsidRDefault="004517AF" w:rsidP="004517AF">
      <w:pPr>
        <w:spacing w:line="360" w:lineRule="auto"/>
        <w:ind w:left="-567"/>
        <w:jc w:val="both"/>
        <w:rPr>
          <w:rFonts w:ascii="Tahoma" w:hAnsi="Tahoma" w:cs="Tahoma"/>
          <w:b/>
          <w:bCs/>
          <w:i/>
          <w:iCs/>
          <w:sz w:val="22"/>
          <w:szCs w:val="22"/>
          <w:lang w:eastAsia="x-none"/>
        </w:rPr>
      </w:pPr>
      <w:r w:rsidRPr="00485A4C">
        <w:rPr>
          <w:rFonts w:ascii="Tahoma" w:hAnsi="Tahoma" w:cs="Tahoma"/>
          <w:b/>
          <w:bCs/>
          <w:i/>
          <w:iCs/>
          <w:sz w:val="22"/>
          <w:szCs w:val="22"/>
          <w:lang w:eastAsia="x-none"/>
        </w:rPr>
        <w:t>ΔΠΧΑ 15 «Έσοδα από συμβάσεις με πελάτες»</w:t>
      </w:r>
    </w:p>
    <w:p w:rsidR="004517AF" w:rsidRPr="00485A4C" w:rsidRDefault="004517AF" w:rsidP="004517AF">
      <w:pPr>
        <w:spacing w:line="360" w:lineRule="auto"/>
        <w:ind w:left="-567"/>
        <w:jc w:val="both"/>
        <w:rPr>
          <w:rFonts w:ascii="Tahoma" w:hAnsi="Tahoma" w:cs="Tahoma"/>
          <w:bCs/>
          <w:iCs/>
          <w:sz w:val="22"/>
          <w:szCs w:val="22"/>
          <w:lang w:eastAsia="x-none"/>
        </w:rPr>
      </w:pPr>
      <w:r w:rsidRPr="00485A4C">
        <w:rPr>
          <w:rFonts w:ascii="Tahoma" w:hAnsi="Tahoma" w:cs="Tahoma"/>
          <w:bCs/>
          <w:iCs/>
          <w:sz w:val="22"/>
          <w:szCs w:val="22"/>
          <w:lang w:eastAsia="x-none"/>
        </w:rPr>
        <w:lastRenderedPageBreak/>
        <w:t>Στις 28 Μαΐου 2014 το ΣΔΛΠ εξέδωσε το ΔΠΧΑ 15 «Έσοδα από συμβάσεις με πελάτες» και συμπεριλαμβανομένων και των τροποποιήσεων επί του προτύπου που εκδόθηκαν στις 11 Σεπτεμβρίου του 2015 είναι υποχρεωτικής εφαρμογής σε ετήσιες λογιστικές περιόδους που ξεκινούν την ή μετά την 1 Ιανουαρίου 2018 και αποτελεί το νέο πρότυπο που αφορά στην αναγνώριση του εσόδου.</w:t>
      </w:r>
    </w:p>
    <w:p w:rsidR="004517AF" w:rsidRPr="00485A4C" w:rsidRDefault="004517AF" w:rsidP="004517AF">
      <w:pPr>
        <w:spacing w:line="360" w:lineRule="auto"/>
        <w:ind w:left="-567"/>
        <w:jc w:val="both"/>
        <w:rPr>
          <w:rFonts w:ascii="Tahoma" w:hAnsi="Tahoma" w:cs="Tahoma"/>
          <w:bCs/>
          <w:iCs/>
          <w:sz w:val="22"/>
          <w:szCs w:val="22"/>
          <w:lang w:eastAsia="x-none"/>
        </w:rPr>
      </w:pPr>
      <w:r w:rsidRPr="00485A4C">
        <w:rPr>
          <w:rFonts w:ascii="Tahoma" w:hAnsi="Tahoma" w:cs="Tahoma"/>
          <w:bCs/>
          <w:iCs/>
          <w:sz w:val="22"/>
          <w:szCs w:val="22"/>
          <w:lang w:eastAsia="x-none"/>
        </w:rPr>
        <w:t>Το ΔΠΧΑ 15 αντικαθιστά τα ΔΛΠ 18, ΔΛΠ 11 και τις διερμηνείες  ΕΔΔΠΧΑ 13, ΕΔΔΠΧΑ 15, ΕΔΔΠΧΑ 18 και ΜΕΔ 31.</w:t>
      </w:r>
    </w:p>
    <w:p w:rsidR="004517AF" w:rsidRPr="00485A4C" w:rsidRDefault="004517AF" w:rsidP="004517AF">
      <w:pPr>
        <w:spacing w:line="360" w:lineRule="auto"/>
        <w:ind w:left="-567"/>
        <w:jc w:val="both"/>
        <w:rPr>
          <w:rFonts w:ascii="Tahoma" w:hAnsi="Tahoma" w:cs="Tahoma"/>
          <w:bCs/>
          <w:iCs/>
          <w:sz w:val="22"/>
          <w:szCs w:val="22"/>
          <w:lang w:eastAsia="x-none"/>
        </w:rPr>
      </w:pPr>
      <w:r w:rsidRPr="00485A4C">
        <w:rPr>
          <w:rFonts w:ascii="Tahoma" w:hAnsi="Tahoma" w:cs="Tahoma"/>
          <w:bCs/>
          <w:iCs/>
          <w:sz w:val="22"/>
          <w:szCs w:val="22"/>
          <w:lang w:eastAsia="x-none"/>
        </w:rPr>
        <w:t xml:space="preserve">Το νέο πρότυπο καθιερώνει ένα μοντέλο πέντε βημάτων που θα εφαρμόζεται για έσοδα που προκύπτουν από μια σύμβαση με έναν πελάτη (με περιορισμένες εξαιρέσεις), ανεξάρτητα από το είδος της συναλλαγής εσόδων ή τον κλάδο. Οι απαιτήσεις του προτύπου θα εφαρμόζονται επίσης για την αναγνώριση και επιμέτρηση των κερδών και ζημιών από την πώληση ορισμένων μη χρηματοοικονομικών περιουσιακών στοιχείων που δεν αποτελούν παραγωγή από συνήθεις δραστηριότητες της οικονομικής οντότητας (π.χ., πωλήσεις ακινήτων, εγκαταστάσεων και εξοπλισμού ή άυλων περιουσιακών στοιχείων). Θα απαιτούνται εκτεταμένες γνωστοποιήσεις, συμπεριλαμβανομένης της ανάλυσης του συνόλου των εσόδων, πληροφορίες σχετικά με τις υποχρεώσεις απόδοσης, αλλαγές στα υπόλοιπα των περιουσιακών στοιχείων σύμβασης και των υποχρεώσεων σύμβασης μεταξύ των περιόδων και βασικές κρίσεις και εκτιμήσεις. Το ΔΠΧΑ 15 υιοθετήθηκε από την Ευρωπαϊκή Ένωση στις 22 Σεπτεμβρίου 2016. </w:t>
      </w:r>
    </w:p>
    <w:p w:rsidR="004517AF" w:rsidRPr="00485A4C" w:rsidRDefault="004517AF" w:rsidP="004517AF">
      <w:pPr>
        <w:spacing w:line="360" w:lineRule="auto"/>
        <w:ind w:left="-567"/>
        <w:jc w:val="both"/>
        <w:rPr>
          <w:rFonts w:ascii="Tahoma" w:hAnsi="Tahoma" w:cs="Tahoma"/>
          <w:b/>
          <w:bCs/>
          <w:i/>
          <w:iCs/>
          <w:sz w:val="22"/>
          <w:szCs w:val="22"/>
          <w:lang w:eastAsia="x-none"/>
        </w:rPr>
      </w:pPr>
      <w:r w:rsidRPr="00485A4C">
        <w:rPr>
          <w:rFonts w:ascii="Tahoma" w:hAnsi="Tahoma" w:cs="Tahoma"/>
          <w:b/>
          <w:bCs/>
          <w:i/>
          <w:iCs/>
          <w:sz w:val="22"/>
          <w:szCs w:val="22"/>
          <w:lang w:eastAsia="x-none"/>
        </w:rPr>
        <w:t>ΔΠΧΑ 16 «Μισθώσεις»</w:t>
      </w:r>
    </w:p>
    <w:p w:rsidR="004517AF" w:rsidRPr="00485A4C" w:rsidRDefault="004517AF" w:rsidP="004517AF">
      <w:pPr>
        <w:spacing w:line="360" w:lineRule="auto"/>
        <w:ind w:left="-567"/>
        <w:jc w:val="both"/>
        <w:rPr>
          <w:rFonts w:ascii="Tahoma" w:hAnsi="Tahoma" w:cs="Tahoma"/>
          <w:bCs/>
          <w:iCs/>
          <w:sz w:val="22"/>
          <w:szCs w:val="22"/>
          <w:lang w:eastAsia="x-none"/>
        </w:rPr>
      </w:pPr>
      <w:r w:rsidRPr="00485A4C">
        <w:rPr>
          <w:rFonts w:ascii="Tahoma" w:hAnsi="Tahoma" w:cs="Tahoma"/>
          <w:bCs/>
          <w:iCs/>
          <w:sz w:val="22"/>
          <w:szCs w:val="22"/>
          <w:lang w:eastAsia="x-none"/>
        </w:rPr>
        <w:t>Στις 13 Ιανουαρίου 2016 το ΣΔΛΠ εξέδωσε το ΔΠΧΑ 16 και αντικαθιστά το ΔΛΠ 17. Σκοπός του προτύπου είναι να εξασφαλίσει ότι οι μισθωτές και οι εκμισθωτές παρέχουν χρήσιμη πληροφόρηση που παρουσιάζει εύλογα την ουσία των συναλλαγών που αφορούν μισθώσεις. Το ΔΠΧΑ 16 εισάγει ένα ενιαίο μοντέλο για το λογιστικό χειρισμό από την πλευρά του μισθωτή, το οποίο απαιτεί ο μισθωτής να αναγνωρίζει περιουσιακά στοιχεία και υποχρεώσεις για όλες τις συμβάσεις μισθώσεων με διάρκεια άνω των 12 μηνών, εκτός εάν το υποκείμενο περιουσιακό στοιχείο είναι μη σημαντικής αξίας. Σχετικά με το λογιστικό χειρισμό από την πλευρά του εκμισθωτή, το ΔΠΧΑ 16 ενσωματώνει ουσιαστικά τις απαιτήσεις του ΔΛΠ 17. Επομένως, ο εκμισθωτής συνεχίζει να κατηγοριοποιεί τις συμβάσεις μισθώσεων σε λειτουργικές και χρηματοδοτικές μισθώσεις, και να ακολουθεί διαφορετικό λογιστικό χειρισμό για κάθε τύπο σύμβασης. Το νέο πρότυπο εφαρμόζεται σε ετήσιες λογιστικές περιόδους που ξεκινούν την ή μετά την 1 Ιανουαρίου 2019 και δεν έχει υιοθετηθεί από την Ευρωπαϊκή Ένωση.</w:t>
      </w:r>
    </w:p>
    <w:p w:rsidR="004517AF" w:rsidRPr="00485A4C" w:rsidRDefault="004517AF" w:rsidP="004517AF">
      <w:pPr>
        <w:spacing w:line="360" w:lineRule="auto"/>
        <w:ind w:left="-567"/>
        <w:jc w:val="both"/>
        <w:rPr>
          <w:rFonts w:ascii="Tahoma" w:hAnsi="Tahoma" w:cs="Tahoma"/>
          <w:b/>
          <w:bCs/>
          <w:i/>
          <w:iCs/>
          <w:sz w:val="22"/>
          <w:szCs w:val="22"/>
          <w:lang w:eastAsia="x-none"/>
        </w:rPr>
      </w:pPr>
      <w:r w:rsidRPr="00485A4C">
        <w:rPr>
          <w:rFonts w:ascii="Tahoma" w:hAnsi="Tahoma" w:cs="Tahoma"/>
          <w:b/>
          <w:bCs/>
          <w:i/>
          <w:iCs/>
          <w:sz w:val="22"/>
          <w:szCs w:val="22"/>
          <w:lang w:eastAsia="x-none"/>
        </w:rPr>
        <w:lastRenderedPageBreak/>
        <w:t>ΔΠΧΑ 2 (Τροποποίηση) Παροχές που εξαρτώνται από την αξία των μετοχών: Κατάταξη και επιμέτρηση των Παροχών που εξαρτώνται από την αξία των μετοχών</w:t>
      </w:r>
    </w:p>
    <w:p w:rsidR="004517AF" w:rsidRPr="00485A4C" w:rsidRDefault="004517AF" w:rsidP="004517AF">
      <w:pPr>
        <w:spacing w:line="360" w:lineRule="auto"/>
        <w:ind w:left="-567"/>
        <w:jc w:val="both"/>
        <w:rPr>
          <w:rFonts w:ascii="Tahoma" w:hAnsi="Tahoma" w:cs="Tahoma"/>
          <w:bCs/>
          <w:iCs/>
          <w:sz w:val="22"/>
          <w:szCs w:val="22"/>
          <w:lang w:eastAsia="x-none"/>
        </w:rPr>
      </w:pPr>
      <w:r w:rsidRPr="00485A4C">
        <w:rPr>
          <w:rFonts w:ascii="Tahoma" w:hAnsi="Tahoma" w:cs="Tahoma"/>
          <w:bCs/>
          <w:iCs/>
          <w:sz w:val="22"/>
          <w:szCs w:val="22"/>
          <w:lang w:eastAsia="x-none"/>
        </w:rPr>
        <w:t>Η τροποποίηση εφαρμόζεται σε ετήσιες λογιστικές περιόδους που ξεκινούν την ή μετά την 1.1.2018 και δεν έχει υιοθετηθεί από την Ευρωπαϊκή Ένωση. Την 20.6.2016 το Συμβούλιο των Διεθνών Λογιστικών Προτύ</w:t>
      </w:r>
      <w:r w:rsidRPr="00485A4C">
        <w:rPr>
          <w:rFonts w:ascii="Tahoma" w:hAnsi="Tahoma" w:cs="Tahoma"/>
          <w:bCs/>
          <w:iCs/>
          <w:sz w:val="22"/>
          <w:szCs w:val="22"/>
          <w:lang w:eastAsia="x-none"/>
        </w:rPr>
        <w:softHyphen/>
        <w:t xml:space="preserve">πων εξέδωσε τροποποίηση στο ΔΠΧΑ 2 η οποία επιγραμματικά περιέχει: α) επιπλέον οδηγίες για τις συναλλαγές που εμπεριέχουν όρους απόδοσης, β) κατάταξη συναλλαγών που εξαρτώνται από την αξία μετοχών με χαρακτηριστικό τον συμψηφιστικό διακανονισμό και γ) λογιστικοποίηση τροποποιήσεων </w:t>
      </w:r>
      <w:r w:rsidR="00F4735E" w:rsidRPr="00485A4C">
        <w:rPr>
          <w:rStyle w:val="Hyperlink"/>
          <w:rFonts w:ascii="Tahoma" w:hAnsi="Tahoma" w:cs="Tahoma"/>
          <w:bCs/>
          <w:iCs/>
          <w:sz w:val="22"/>
          <w:szCs w:val="22"/>
          <w:lang w:eastAsia="x-none"/>
        </w:rPr>
        <w:fldChar w:fldCharType="begin"/>
      </w:r>
      <w:r w:rsidR="00F4735E" w:rsidRPr="00485A4C">
        <w:rPr>
          <w:rStyle w:val="Hyperlink"/>
          <w:rFonts w:ascii="Tahoma" w:hAnsi="Tahoma" w:cs="Tahoma"/>
          <w:bCs/>
          <w:iCs/>
          <w:sz w:val="22"/>
          <w:szCs w:val="22"/>
          <w:lang w:eastAsia="x-none"/>
        </w:rPr>
        <w:instrText xml:space="preserve"> HYPERLINK "http://www.forin.gr/laws/law/3308/dpxa-2-Paroxes-pou-eksartwntai-apo-thn-aksia-twn-metoxwn" \l "!/?article=5&amp;bn=1" \o "Συναλλαγές που αφορούν παροχές που εξαρτώνται από την αξία των μετοχών και διακανονίζονται σε μετρητά - ΔΠΧΑ 2: Παροχές που εξαρτώνται από την αξία των μετοχών" </w:instrText>
      </w:r>
      <w:r w:rsidR="00F4735E" w:rsidRPr="00485A4C">
        <w:rPr>
          <w:rStyle w:val="Hyperlink"/>
          <w:rFonts w:ascii="Tahoma" w:hAnsi="Tahoma" w:cs="Tahoma"/>
          <w:bCs/>
          <w:iCs/>
          <w:sz w:val="22"/>
          <w:szCs w:val="22"/>
          <w:lang w:eastAsia="x-none"/>
        </w:rPr>
        <w:fldChar w:fldCharType="separate"/>
      </w:r>
      <w:r w:rsidRPr="00485A4C">
        <w:rPr>
          <w:rStyle w:val="Hyperlink"/>
          <w:rFonts w:ascii="Tahoma" w:hAnsi="Tahoma" w:cs="Tahoma"/>
          <w:bCs/>
          <w:iCs/>
          <w:sz w:val="22"/>
          <w:szCs w:val="22"/>
          <w:lang w:eastAsia="x-none"/>
        </w:rPr>
        <w:t>συναλλαγών που αφορούν παροχές που εξαρτώνται από την αξία των μετοχών από διακανονισμό σε μετρητά</w:t>
      </w:r>
      <w:r w:rsidR="00F4735E" w:rsidRPr="00485A4C">
        <w:rPr>
          <w:rStyle w:val="Hyperlink"/>
          <w:rFonts w:ascii="Tahoma" w:hAnsi="Tahoma" w:cs="Tahoma"/>
          <w:bCs/>
          <w:iCs/>
          <w:sz w:val="22"/>
          <w:szCs w:val="22"/>
          <w:lang w:eastAsia="x-none"/>
        </w:rPr>
        <w:fldChar w:fldCharType="end"/>
      </w:r>
      <w:r w:rsidRPr="00485A4C">
        <w:rPr>
          <w:rFonts w:ascii="Tahoma" w:hAnsi="Tahoma" w:cs="Tahoma"/>
          <w:bCs/>
          <w:iCs/>
          <w:sz w:val="22"/>
          <w:szCs w:val="22"/>
          <w:lang w:eastAsia="x-none"/>
        </w:rPr>
        <w:t xml:space="preserve"> σε διακανονισμό με συμμετοχικούς τίτλους λόγω αλλαγών στους όρους και τις προϋποθέσεις.</w:t>
      </w:r>
    </w:p>
    <w:p w:rsidR="004517AF" w:rsidRPr="00485A4C" w:rsidRDefault="004517AF" w:rsidP="004517AF">
      <w:pPr>
        <w:shd w:val="clear" w:color="auto" w:fill="FFFFFF"/>
        <w:spacing w:line="360" w:lineRule="auto"/>
        <w:ind w:left="-567"/>
        <w:jc w:val="both"/>
        <w:rPr>
          <w:rFonts w:ascii="Tahoma" w:hAnsi="Tahoma" w:cs="Tahoma"/>
          <w:b/>
          <w:i/>
          <w:color w:val="000000"/>
          <w:sz w:val="22"/>
          <w:szCs w:val="22"/>
        </w:rPr>
      </w:pPr>
      <w:r w:rsidRPr="00485A4C">
        <w:rPr>
          <w:rFonts w:ascii="Tahoma" w:hAnsi="Tahoma" w:cs="Tahoma"/>
          <w:b/>
          <w:i/>
          <w:color w:val="000000"/>
          <w:sz w:val="22"/>
          <w:szCs w:val="22"/>
        </w:rPr>
        <w:t>Ετήσιες Βελτιώσεις στα ΔΠΧΑ, Κύκλος 2014-2016</w:t>
      </w:r>
    </w:p>
    <w:p w:rsidR="004517AF" w:rsidRPr="00485A4C" w:rsidRDefault="004517AF" w:rsidP="004517AF">
      <w:pPr>
        <w:shd w:val="clear" w:color="auto" w:fill="FFFFFF"/>
        <w:spacing w:line="360" w:lineRule="auto"/>
        <w:ind w:left="-567"/>
        <w:jc w:val="both"/>
        <w:rPr>
          <w:rFonts w:ascii="Tahoma" w:hAnsi="Tahoma" w:cs="Tahoma"/>
          <w:color w:val="000000"/>
          <w:sz w:val="22"/>
          <w:szCs w:val="22"/>
        </w:rPr>
      </w:pPr>
      <w:r w:rsidRPr="00485A4C">
        <w:rPr>
          <w:rFonts w:ascii="Tahoma" w:hAnsi="Tahoma" w:cs="Tahoma"/>
          <w:iCs/>
          <w:color w:val="000000"/>
          <w:sz w:val="22"/>
          <w:szCs w:val="22"/>
        </w:rPr>
        <w:t xml:space="preserve">Οι τροποποιήσεις του Κύκλου 2014-2016, εκδόθηκαν από το Συμβούλιο στις 8 Δεκεμβρίου 2016,  έχουν εφαρμογή σε περιόδους που ξεκινούν την ή μετά από την 1 Ιανουαρίου 2018 και δεν έχουν υιοθετηθεί από την Ευρωπαϊκή Ένωση. Οι </w:t>
      </w:r>
      <w:r w:rsidRPr="00485A4C">
        <w:rPr>
          <w:rFonts w:ascii="Tahoma" w:hAnsi="Tahoma" w:cs="Tahoma"/>
          <w:color w:val="000000"/>
          <w:sz w:val="22"/>
          <w:szCs w:val="22"/>
        </w:rPr>
        <w:t>κατωτέρω τροποποιήσεις δεν αναμένεται να έχουν σημαντική επίπτωση στις οικονομικές καταστάσεις της Εταιρείας (ή και του Ομίλου) εκτός αν αναφέρεται διαφορετικά.</w:t>
      </w:r>
    </w:p>
    <w:p w:rsidR="004517AF" w:rsidRPr="00485A4C" w:rsidRDefault="004517AF" w:rsidP="004517AF">
      <w:pPr>
        <w:shd w:val="clear" w:color="auto" w:fill="FFFFFF"/>
        <w:spacing w:line="360" w:lineRule="auto"/>
        <w:ind w:left="-567"/>
        <w:jc w:val="both"/>
        <w:rPr>
          <w:rFonts w:ascii="Tahoma" w:hAnsi="Tahoma" w:cs="Tahoma"/>
          <w:b/>
          <w:iCs/>
          <w:color w:val="000000"/>
          <w:sz w:val="22"/>
          <w:szCs w:val="22"/>
        </w:rPr>
      </w:pPr>
      <w:r w:rsidRPr="00485A4C">
        <w:rPr>
          <w:rFonts w:ascii="Tahoma" w:hAnsi="Tahoma" w:cs="Tahoma"/>
          <w:b/>
          <w:iCs/>
          <w:color w:val="000000"/>
          <w:sz w:val="22"/>
          <w:szCs w:val="22"/>
        </w:rPr>
        <w:t xml:space="preserve">Δ.Π.Χ.Α. 1 </w:t>
      </w:r>
      <w:hyperlink r:id="rId14" w:history="1">
        <w:r w:rsidRPr="00485A4C">
          <w:rPr>
            <w:rFonts w:ascii="Tahoma" w:hAnsi="Tahoma" w:cs="Tahoma"/>
            <w:b/>
            <w:iCs/>
            <w:color w:val="000000"/>
            <w:sz w:val="22"/>
            <w:szCs w:val="22"/>
          </w:rPr>
          <w:t>Πρώτη εφαρμογή των διεθνών προτύπων</w:t>
        </w:r>
      </w:hyperlink>
      <w:r w:rsidRPr="00485A4C">
        <w:rPr>
          <w:rFonts w:ascii="Tahoma" w:hAnsi="Tahoma" w:cs="Tahoma"/>
          <w:b/>
          <w:iCs/>
          <w:color w:val="000000"/>
          <w:sz w:val="22"/>
          <w:szCs w:val="22"/>
        </w:rPr>
        <w:t xml:space="preserve"> χρηματοοικονομικής αναφοράς</w:t>
      </w:r>
    </w:p>
    <w:p w:rsidR="004517AF" w:rsidRPr="00485A4C" w:rsidRDefault="004517AF" w:rsidP="004517AF">
      <w:pPr>
        <w:shd w:val="clear" w:color="auto" w:fill="FFFFFF"/>
        <w:spacing w:line="360" w:lineRule="auto"/>
        <w:ind w:left="-567"/>
        <w:jc w:val="both"/>
        <w:rPr>
          <w:rFonts w:ascii="Tahoma" w:hAnsi="Tahoma" w:cs="Tahoma"/>
          <w:iCs/>
          <w:color w:val="000000"/>
          <w:sz w:val="22"/>
          <w:szCs w:val="22"/>
        </w:rPr>
      </w:pPr>
      <w:r w:rsidRPr="00485A4C">
        <w:rPr>
          <w:rFonts w:ascii="Tahoma" w:hAnsi="Tahoma" w:cs="Tahoma"/>
          <w:iCs/>
          <w:color w:val="000000"/>
          <w:sz w:val="22"/>
          <w:szCs w:val="22"/>
        </w:rPr>
        <w:t>Η τροποποίηση διαγράφει  τις «Βραχυπρόθεσμες εξαιρέσεις από τα Δ.Π.Χ.Α.» που προβλέπονταν από το Προσάρτημα Ε του Δ.Π.Χ.Α. 1 με το αιτιολογικό ότι έχουν υπηρετήσει πλέον τον σκοπό τους και δεν είναι πλέον απαραίτητες.</w:t>
      </w:r>
    </w:p>
    <w:p w:rsidR="004517AF" w:rsidRPr="00485A4C" w:rsidRDefault="004517AF" w:rsidP="004517AF">
      <w:pPr>
        <w:shd w:val="clear" w:color="auto" w:fill="FFFFFF"/>
        <w:spacing w:line="360" w:lineRule="auto"/>
        <w:ind w:left="-567"/>
        <w:jc w:val="both"/>
        <w:rPr>
          <w:rFonts w:ascii="Tahoma" w:hAnsi="Tahoma" w:cs="Tahoma"/>
          <w:b/>
          <w:iCs/>
          <w:color w:val="000000"/>
          <w:sz w:val="22"/>
          <w:szCs w:val="22"/>
        </w:rPr>
      </w:pPr>
      <w:r w:rsidRPr="00485A4C">
        <w:rPr>
          <w:rFonts w:ascii="Tahoma" w:hAnsi="Tahoma" w:cs="Tahoma"/>
          <w:b/>
          <w:iCs/>
          <w:color w:val="000000"/>
          <w:sz w:val="22"/>
          <w:szCs w:val="22"/>
        </w:rPr>
        <w:t>ΔΛΠ 28 (</w:t>
      </w:r>
      <w:r w:rsidRPr="00485A4C">
        <w:rPr>
          <w:rFonts w:ascii="Tahoma" w:hAnsi="Tahoma" w:cs="Tahoma"/>
          <w:b/>
          <w:bCs/>
          <w:iCs/>
          <w:color w:val="000000"/>
          <w:sz w:val="22"/>
          <w:szCs w:val="22"/>
        </w:rPr>
        <w:t>Τροποποίηση) «Επιμέτρηση Συγγενών Επιχειρήσεων ή Κοινοπραξιών στην εύλογη αξία»</w:t>
      </w:r>
    </w:p>
    <w:p w:rsidR="004517AF" w:rsidRPr="00485A4C" w:rsidRDefault="004517AF" w:rsidP="004517AF">
      <w:pPr>
        <w:shd w:val="clear" w:color="auto" w:fill="FFFFFF"/>
        <w:spacing w:line="360" w:lineRule="auto"/>
        <w:ind w:left="-567"/>
        <w:jc w:val="both"/>
        <w:rPr>
          <w:rFonts w:ascii="Tahoma" w:hAnsi="Tahoma" w:cs="Tahoma"/>
          <w:iCs/>
          <w:color w:val="000000"/>
          <w:sz w:val="22"/>
          <w:szCs w:val="22"/>
        </w:rPr>
      </w:pPr>
      <w:r w:rsidRPr="00485A4C">
        <w:rPr>
          <w:rFonts w:ascii="Tahoma" w:hAnsi="Tahoma" w:cs="Tahoma"/>
          <w:bCs/>
          <w:iCs/>
          <w:color w:val="000000"/>
          <w:sz w:val="22"/>
          <w:szCs w:val="22"/>
        </w:rPr>
        <w:t>Η τροποποίηση διευκρινίζει</w:t>
      </w:r>
      <w:r w:rsidRPr="00485A4C">
        <w:rPr>
          <w:rFonts w:ascii="Tahoma" w:hAnsi="Tahoma" w:cs="Tahoma"/>
          <w:b/>
          <w:bCs/>
          <w:iCs/>
          <w:color w:val="000000"/>
          <w:sz w:val="22"/>
          <w:szCs w:val="22"/>
        </w:rPr>
        <w:t xml:space="preserve"> </w:t>
      </w:r>
      <w:r w:rsidRPr="00485A4C">
        <w:rPr>
          <w:rFonts w:ascii="Tahoma" w:hAnsi="Tahoma" w:cs="Tahoma"/>
          <w:iCs/>
          <w:color w:val="000000"/>
          <w:sz w:val="22"/>
          <w:szCs w:val="22"/>
        </w:rPr>
        <w:t xml:space="preserve">ότι η επιλογή που δίνεται οι επενδύσεις σε συγγενής ή σε κοινοπραξίες που κατέχεται από μια οντότητα που είναι ένας οργανισμός διαχείρισης επενδυτικών κεφαλαίων, ή άλλης οντότητας  που πληροί τις προϋποθέσεις να επιμετρηθούν στην εύλογη αξία μέσω των αποτελεσμάτων είναι διαθέσιμη για κάθε μια επένδυση σε συγγενή ή κοινοπραξία ξεχωριστά κατά την αρχική αναγνώριση. </w:t>
      </w:r>
    </w:p>
    <w:p w:rsidR="004517AF" w:rsidRPr="00485A4C" w:rsidRDefault="004517AF" w:rsidP="004517AF">
      <w:pPr>
        <w:shd w:val="clear" w:color="auto" w:fill="FFFFFF"/>
        <w:spacing w:line="360" w:lineRule="auto"/>
        <w:ind w:left="-567"/>
        <w:jc w:val="both"/>
        <w:rPr>
          <w:rFonts w:ascii="Tahoma" w:hAnsi="Tahoma" w:cs="Tahoma"/>
          <w:b/>
          <w:bCs/>
          <w:iCs/>
          <w:color w:val="000000"/>
          <w:sz w:val="22"/>
          <w:szCs w:val="22"/>
        </w:rPr>
      </w:pPr>
      <w:r w:rsidRPr="00485A4C">
        <w:rPr>
          <w:rFonts w:ascii="Tahoma" w:hAnsi="Tahoma" w:cs="Tahoma"/>
          <w:b/>
          <w:bCs/>
          <w:iCs/>
          <w:color w:val="000000"/>
          <w:sz w:val="22"/>
          <w:szCs w:val="22"/>
        </w:rPr>
        <w:t xml:space="preserve">ΔΠΧΑ 12 Γνωστοποιήσεις συμμετοχών σε άλλες οντότητες: Διευκρίνιση του σκοπού του προτύπου. </w:t>
      </w:r>
    </w:p>
    <w:p w:rsidR="004517AF" w:rsidRPr="00485A4C" w:rsidRDefault="004517AF" w:rsidP="004517AF">
      <w:pPr>
        <w:shd w:val="clear" w:color="auto" w:fill="FFFFFF"/>
        <w:spacing w:line="360" w:lineRule="auto"/>
        <w:ind w:left="-567"/>
        <w:jc w:val="both"/>
        <w:rPr>
          <w:rFonts w:ascii="Tahoma" w:hAnsi="Tahoma" w:cs="Tahoma"/>
          <w:bCs/>
          <w:iCs/>
          <w:color w:val="000000"/>
          <w:sz w:val="22"/>
          <w:szCs w:val="22"/>
        </w:rPr>
      </w:pPr>
      <w:r w:rsidRPr="00485A4C">
        <w:rPr>
          <w:rFonts w:ascii="Tahoma" w:hAnsi="Tahoma" w:cs="Tahoma"/>
          <w:bCs/>
          <w:iCs/>
          <w:color w:val="000000"/>
          <w:sz w:val="22"/>
          <w:szCs w:val="22"/>
        </w:rPr>
        <w:t xml:space="preserve">Η τροποποίηση διευκρίνισε το πεδίο εφαρμογής του προτύπου προσδιορίζοντας ότι οι απαιτήσεις γνωστοποίησης του προτύπου, εκτός από εκείνες των παραγράφων Β10-Β16, ισχύουν για τις συμμετοχές της οντότητας που αναφέρονται στην παράγραφο 5 που έχουν ταξινομηθεί ως κατεχόμενα για πώληση, ως κατεχόμενα για διανομή ή ως </w:t>
      </w:r>
      <w:r w:rsidRPr="00485A4C">
        <w:rPr>
          <w:rFonts w:ascii="Tahoma" w:hAnsi="Tahoma" w:cs="Tahoma"/>
          <w:bCs/>
          <w:iCs/>
          <w:color w:val="000000"/>
          <w:sz w:val="22"/>
          <w:szCs w:val="22"/>
        </w:rPr>
        <w:lastRenderedPageBreak/>
        <w:t>διακοπείσες δραστηριότητες σύμφωνα με το ΔΠΧΑ 5 «Μη κυκλοφορούντα περιουσιακά στοιχεία που κατέχονται προς πώληση και διακοπείσες δραστηριότητες».</w:t>
      </w:r>
    </w:p>
    <w:p w:rsidR="004517AF" w:rsidRPr="00485A4C" w:rsidRDefault="004517AF" w:rsidP="004517AF">
      <w:pPr>
        <w:shd w:val="clear" w:color="auto" w:fill="FFFFFF"/>
        <w:spacing w:line="360" w:lineRule="auto"/>
        <w:ind w:left="-567"/>
        <w:jc w:val="both"/>
        <w:rPr>
          <w:rFonts w:ascii="Tahoma" w:hAnsi="Tahoma" w:cs="Tahoma"/>
          <w:b/>
          <w:bCs/>
          <w:iCs/>
          <w:color w:val="000000"/>
          <w:sz w:val="22"/>
          <w:szCs w:val="22"/>
        </w:rPr>
      </w:pPr>
      <w:r w:rsidRPr="00485A4C">
        <w:rPr>
          <w:rFonts w:ascii="Tahoma" w:hAnsi="Tahoma" w:cs="Tahoma"/>
          <w:b/>
          <w:bCs/>
          <w:iCs/>
          <w:color w:val="000000"/>
          <w:sz w:val="22"/>
          <w:szCs w:val="22"/>
        </w:rPr>
        <w:t>ΔΛΠ 40 « Επενδυτικά ακίνητα» Μεταφορές Επενδυτικών ακινήτων</w:t>
      </w:r>
    </w:p>
    <w:p w:rsidR="004517AF" w:rsidRPr="00485A4C" w:rsidRDefault="004517AF" w:rsidP="004517AF">
      <w:pPr>
        <w:shd w:val="clear" w:color="auto" w:fill="FFFFFF"/>
        <w:spacing w:line="360" w:lineRule="auto"/>
        <w:ind w:left="-567"/>
        <w:jc w:val="both"/>
        <w:rPr>
          <w:rFonts w:ascii="Tahoma" w:hAnsi="Tahoma" w:cs="Tahoma"/>
          <w:b/>
          <w:bCs/>
          <w:iCs/>
          <w:color w:val="000000"/>
          <w:sz w:val="22"/>
          <w:szCs w:val="22"/>
        </w:rPr>
      </w:pPr>
      <w:r w:rsidRPr="00485A4C">
        <w:rPr>
          <w:rFonts w:ascii="Tahoma" w:hAnsi="Tahoma" w:cs="Tahoma"/>
          <w:iCs/>
          <w:color w:val="000000"/>
          <w:sz w:val="22"/>
          <w:szCs w:val="22"/>
        </w:rPr>
        <w:t xml:space="preserve">Οι τροποποιήσεις στο ΔΛΠ 40 που εξέδωσε το Συμβούλιο στις 8 Δεκεμβρίου 2016 διευκρινίζουν ότι </w:t>
      </w:r>
      <w:r w:rsidRPr="00485A4C">
        <w:rPr>
          <w:rFonts w:ascii="Tahoma" w:hAnsi="Tahoma" w:cs="Tahoma"/>
          <w:bCs/>
          <w:iCs/>
          <w:color w:val="000000"/>
          <w:sz w:val="22"/>
          <w:szCs w:val="22"/>
        </w:rPr>
        <w:t xml:space="preserve">μια οικονομική οντότητα δύναται να μεταφέρει ένα ακίνητο προς ή από τις επενδύσεις σε ακίνητα, όταν, και μόνο όταν, υπάρχουν ενδείξεις αλλαγής της χρήσης. Μια αλλαγή της χρήσης προκύπτει, εάν το ακίνητο πληροί ή παύει να πληροί, τον ορισμό των επενδύσεων σε ακίνητα. Μια αλλαγή στις προθέσεις της διοίκησης για τη χρήση του ακινήτου από μόνη της δεν αποτελεί ένδειξη μιας αλλαγής στη χρήση. </w:t>
      </w:r>
      <w:r w:rsidRPr="00485A4C">
        <w:rPr>
          <w:rFonts w:ascii="Tahoma" w:hAnsi="Tahoma" w:cs="Tahoma"/>
          <w:iCs/>
          <w:color w:val="000000"/>
          <w:sz w:val="22"/>
          <w:szCs w:val="22"/>
        </w:rPr>
        <w:t>Η τροποποίηση εφαρμόζεται σε ετήσιες λογιστικές περιόδους που ξεκινούν την ή μετά την 1 Ιανουαρίου 2018 και δεν έχει υιοθετηθεί από την Ευρωπαϊκή Ένωση.</w:t>
      </w:r>
    </w:p>
    <w:p w:rsidR="004517AF" w:rsidRPr="00485A4C" w:rsidRDefault="004517AF" w:rsidP="004517AF">
      <w:pPr>
        <w:shd w:val="clear" w:color="auto" w:fill="FFFFFF"/>
        <w:spacing w:line="360" w:lineRule="auto"/>
        <w:ind w:left="-567"/>
        <w:jc w:val="both"/>
        <w:rPr>
          <w:rFonts w:ascii="Tahoma" w:hAnsi="Tahoma" w:cs="Tahoma"/>
          <w:b/>
          <w:bCs/>
          <w:iCs/>
          <w:color w:val="000000"/>
          <w:sz w:val="22"/>
          <w:szCs w:val="22"/>
        </w:rPr>
      </w:pPr>
      <w:r w:rsidRPr="00485A4C">
        <w:rPr>
          <w:rFonts w:ascii="Tahoma" w:hAnsi="Tahoma" w:cs="Tahoma"/>
          <w:b/>
          <w:bCs/>
          <w:iCs/>
          <w:color w:val="000000"/>
          <w:sz w:val="22"/>
          <w:szCs w:val="22"/>
        </w:rPr>
        <w:t>ΕΔΔΠΧΑ 22 Διερμηνεία «Συναλλαγές σε ξένο νόμισμα και Προκαταβολές»</w:t>
      </w:r>
    </w:p>
    <w:p w:rsidR="004517AF" w:rsidRPr="00485A4C" w:rsidRDefault="004517AF" w:rsidP="004517AF">
      <w:pPr>
        <w:shd w:val="clear" w:color="auto" w:fill="FFFFFF"/>
        <w:spacing w:line="360" w:lineRule="auto"/>
        <w:ind w:left="-567"/>
        <w:jc w:val="both"/>
        <w:rPr>
          <w:rFonts w:ascii="Tahoma" w:hAnsi="Tahoma" w:cs="Tahoma"/>
          <w:b/>
          <w:bCs/>
          <w:iCs/>
          <w:color w:val="000000"/>
          <w:sz w:val="22"/>
          <w:szCs w:val="22"/>
        </w:rPr>
      </w:pPr>
      <w:r w:rsidRPr="00485A4C">
        <w:rPr>
          <w:rFonts w:ascii="Tahoma" w:hAnsi="Tahoma" w:cs="Tahoma"/>
          <w:bCs/>
          <w:iCs/>
          <w:color w:val="000000"/>
          <w:sz w:val="22"/>
          <w:szCs w:val="22"/>
        </w:rPr>
        <w:t xml:space="preserve">Η Διερμηνεία 22 διευκρινίζει το λογιστικό χειρισμό για τις συναλλαγές που περιλαμβάνουν την είσπραξη ή την πληρωμή προκαταβολών σε ξένο νόμισμα. Συγκεκριμένα, εφαρμόζεται για τις συναλλαγές σε ξένο νόμισμα όταν η οικονομική οντότητα αναγνωρίζει ένα μη νομισματικό περιουσιακό στοιχείο ή μια μη νομισματική υποχρέωση που προκύπτει από την πληρωμή ή την είσπραξη προκαταβολών πριν η οικονομική οντότητα αναγνωρίσει το σχετικό περιουσιακό στοιχείο, έξοδο ή έσοδο. Σύμφωνα με τη διερμηνεία η ημερομηνία της συναλλαγής, για τον σκοπό του καθορισμού της συναλλαγματικής ισοτιμίας, είναι η ημερομηνία της αρχικής αναγνώρισης των μη νομισματικών προπληρωμών του περιουσιακού στοιχείου ή της υποχρέωσης από λήψη προκαταβολής. Εάν υπάρχουν πολλαπλές πληρωμές ή εισπράξεις προκαταβολικά, η ημερομηνία της συναλλαγής καθορίζεται για κάθε πληρωμή ή είσπραξη. </w:t>
      </w:r>
      <w:r w:rsidRPr="00485A4C">
        <w:rPr>
          <w:rFonts w:ascii="Tahoma" w:hAnsi="Tahoma" w:cs="Tahoma"/>
          <w:iCs/>
          <w:color w:val="000000"/>
          <w:sz w:val="22"/>
          <w:szCs w:val="22"/>
        </w:rPr>
        <w:t>Η διερμηνεία εφαρμόζεται σε ετήσιες λογιστικές περιόδους που ξεκινούν την ή μετά την 1 Ιανουαρίου 2018 και δεν έχει υιοθετηθεί από την Ευρωπαϊκή Ένωση.</w:t>
      </w:r>
    </w:p>
    <w:p w:rsidR="004517AF" w:rsidRPr="00485A4C" w:rsidRDefault="004517AF" w:rsidP="004517AF">
      <w:pPr>
        <w:shd w:val="clear" w:color="auto" w:fill="FFFFFF"/>
        <w:spacing w:line="360" w:lineRule="auto"/>
        <w:ind w:left="-567"/>
        <w:jc w:val="both"/>
        <w:rPr>
          <w:rFonts w:ascii="Tahoma" w:hAnsi="Tahoma" w:cs="Tahoma"/>
          <w:color w:val="000000"/>
          <w:sz w:val="22"/>
          <w:szCs w:val="22"/>
          <w:highlight w:val="yellow"/>
        </w:rPr>
      </w:pPr>
    </w:p>
    <w:p w:rsidR="00E774F4" w:rsidRPr="00485A4C" w:rsidRDefault="004517AF" w:rsidP="004517AF">
      <w:pPr>
        <w:spacing w:before="120" w:after="120" w:line="360" w:lineRule="auto"/>
        <w:ind w:left="-567"/>
        <w:jc w:val="both"/>
        <w:rPr>
          <w:rFonts w:ascii="Tahoma" w:hAnsi="Tahoma" w:cs="Tahoma"/>
          <w:iCs/>
          <w:sz w:val="22"/>
          <w:highlight w:val="red"/>
        </w:rPr>
      </w:pPr>
      <w:r w:rsidRPr="00485A4C">
        <w:rPr>
          <w:rFonts w:ascii="Tahoma" w:hAnsi="Tahoma" w:cs="Tahoma"/>
          <w:color w:val="000000"/>
          <w:sz w:val="22"/>
          <w:szCs w:val="22"/>
        </w:rPr>
        <w:t>Οι βασικές λογιστικές αρχές που υιοθετήθηκαν κατά την προετοιμασία των συνημμένων οικονομικών καταστάσεων έχουν εφαρμοσθεί με συνέπεια σε όλες τις χρήσεις και είναι οι ακόλουθες:</w:t>
      </w:r>
    </w:p>
    <w:p w:rsidR="00E97D23" w:rsidRPr="00485A4C" w:rsidRDefault="00E97D23" w:rsidP="00D00BE7">
      <w:pPr>
        <w:autoSpaceDE w:val="0"/>
        <w:autoSpaceDN w:val="0"/>
        <w:adjustRightInd w:val="0"/>
        <w:spacing w:line="360" w:lineRule="auto"/>
        <w:ind w:left="-540"/>
        <w:jc w:val="both"/>
        <w:rPr>
          <w:rFonts w:ascii="Tahoma" w:hAnsi="Tahoma" w:cs="Tahoma"/>
          <w:sz w:val="22"/>
          <w:szCs w:val="22"/>
        </w:rPr>
      </w:pPr>
    </w:p>
    <w:p w:rsidR="009A02C8" w:rsidRPr="00485A4C" w:rsidRDefault="00F77896" w:rsidP="009A02C8">
      <w:pPr>
        <w:autoSpaceDE w:val="0"/>
        <w:autoSpaceDN w:val="0"/>
        <w:adjustRightInd w:val="0"/>
        <w:spacing w:line="360" w:lineRule="auto"/>
        <w:ind w:left="-540"/>
        <w:rPr>
          <w:rFonts w:ascii="Tahoma" w:hAnsi="Tahoma" w:cs="Tahoma"/>
          <w:b/>
          <w:sz w:val="22"/>
          <w:szCs w:val="22"/>
        </w:rPr>
      </w:pPr>
      <w:r w:rsidRPr="00485A4C">
        <w:rPr>
          <w:rFonts w:ascii="Tahoma" w:hAnsi="Tahoma" w:cs="Tahoma"/>
          <w:b/>
          <w:sz w:val="22"/>
          <w:szCs w:val="22"/>
        </w:rPr>
        <w:t>5</w:t>
      </w:r>
      <w:r w:rsidR="009A02C8" w:rsidRPr="00485A4C">
        <w:rPr>
          <w:rFonts w:ascii="Tahoma" w:hAnsi="Tahoma" w:cs="Tahoma"/>
          <w:b/>
          <w:sz w:val="22"/>
          <w:szCs w:val="22"/>
        </w:rPr>
        <w:t>.</w:t>
      </w:r>
      <w:r w:rsidR="007B2DEE" w:rsidRPr="00485A4C">
        <w:rPr>
          <w:rFonts w:ascii="Tahoma" w:hAnsi="Tahoma" w:cs="Tahoma"/>
          <w:b/>
          <w:sz w:val="22"/>
          <w:szCs w:val="22"/>
        </w:rPr>
        <w:t>3</w:t>
      </w:r>
      <w:r w:rsidR="009A02C8" w:rsidRPr="00485A4C">
        <w:rPr>
          <w:rFonts w:ascii="Tahoma" w:hAnsi="Tahoma" w:cs="Tahoma"/>
          <w:b/>
          <w:sz w:val="22"/>
          <w:szCs w:val="22"/>
        </w:rPr>
        <w:t xml:space="preserve"> Χρήση Εκτιμήσεων</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Σύμφωνα με τις γενικά παραδεγμένες λογιστικές αρχές η σύνταξη των Οικονομικών Καταστάσεων της εταιρείας</w:t>
      </w:r>
      <w:r w:rsidR="00975E76" w:rsidRPr="00485A4C">
        <w:rPr>
          <w:rFonts w:ascii="Tahoma" w:hAnsi="Tahoma" w:cs="Tahoma"/>
          <w:sz w:val="22"/>
          <w:szCs w:val="22"/>
        </w:rPr>
        <w:t xml:space="preserve"> </w:t>
      </w:r>
      <w:r w:rsidRPr="00485A4C">
        <w:rPr>
          <w:rFonts w:ascii="Tahoma" w:hAnsi="Tahoma" w:cs="Tahoma"/>
          <w:sz w:val="22"/>
          <w:szCs w:val="22"/>
        </w:rPr>
        <w:t xml:space="preserve">απαιτεί όπως η Διοίκηση προβαίνει στη διενέργεια εκτιμήσεων και υποθέσεων που επηρεάζουν τα υπόλοιπα των λογαριασμών των οικονομικών καταστάσεων. Παρά το γεγονός ότι οι εκτιμήσεις αυτές στηρίζονται στη </w:t>
      </w:r>
      <w:r w:rsidRPr="00485A4C">
        <w:rPr>
          <w:rFonts w:ascii="Tahoma" w:hAnsi="Tahoma" w:cs="Tahoma"/>
          <w:sz w:val="22"/>
          <w:szCs w:val="22"/>
        </w:rPr>
        <w:lastRenderedPageBreak/>
        <w:t xml:space="preserve">γνώση της διοίκησης για τα τρέχοντα γεγονότα και τις τυχόν μελλοντικές δραστηριότητες </w:t>
      </w:r>
      <w:r w:rsidR="00A77B62" w:rsidRPr="00485A4C">
        <w:rPr>
          <w:rFonts w:ascii="Tahoma" w:hAnsi="Tahoma" w:cs="Tahoma"/>
          <w:sz w:val="22"/>
          <w:szCs w:val="22"/>
        </w:rPr>
        <w:t>της εταιρείας</w:t>
      </w:r>
      <w:r w:rsidRPr="00485A4C">
        <w:rPr>
          <w:rFonts w:ascii="Tahoma" w:hAnsi="Tahoma" w:cs="Tahoma"/>
          <w:sz w:val="22"/>
          <w:szCs w:val="22"/>
        </w:rPr>
        <w:t>, τα πραγματικά αποτελέσματα ενδέχεται να διαφέρουν από αυτές τις εκτιμήσεις. Οι βασικές εκτιμήσεις και κρίσεις οι οποίες αναφέρονται σε δεδομένα, η εξέλιξη των οποίων θα μπορούσε να επηρεάσει τα κονδύλια των οικονομικών καταστάσεων τους επόμενους 12 μήνες, έχουν ως κάτωθι:</w:t>
      </w:r>
    </w:p>
    <w:p w:rsidR="009A02C8" w:rsidRPr="00485A4C" w:rsidRDefault="009A02C8" w:rsidP="009A02C8">
      <w:pPr>
        <w:jc w:val="both"/>
        <w:rPr>
          <w:rFonts w:ascii="Tahoma" w:hAnsi="Tahoma" w:cs="Tahoma"/>
          <w:sz w:val="22"/>
          <w:szCs w:val="22"/>
        </w:rPr>
      </w:pPr>
    </w:p>
    <w:p w:rsidR="009A02C8" w:rsidRPr="00485A4C" w:rsidRDefault="009A02C8" w:rsidP="009A02C8">
      <w:pPr>
        <w:spacing w:line="360" w:lineRule="auto"/>
        <w:jc w:val="both"/>
        <w:rPr>
          <w:rFonts w:ascii="Tahoma" w:hAnsi="Tahoma" w:cs="Tahoma"/>
          <w:sz w:val="22"/>
          <w:szCs w:val="22"/>
        </w:rPr>
      </w:pPr>
      <w:proofErr w:type="spellStart"/>
      <w:r w:rsidRPr="00485A4C">
        <w:rPr>
          <w:rFonts w:ascii="Tahoma" w:hAnsi="Tahoma" w:cs="Tahoma"/>
          <w:b/>
          <w:sz w:val="22"/>
          <w:szCs w:val="22"/>
          <w:lang w:val="en-GB"/>
        </w:rPr>
        <w:t>i</w:t>
      </w:r>
      <w:proofErr w:type="spellEnd"/>
      <w:r w:rsidRPr="00485A4C">
        <w:rPr>
          <w:rFonts w:ascii="Tahoma" w:hAnsi="Tahoma" w:cs="Tahoma"/>
          <w:b/>
          <w:sz w:val="22"/>
          <w:szCs w:val="22"/>
        </w:rPr>
        <w:t>) Συντελεστές απόσβεσης:</w:t>
      </w:r>
      <w:r w:rsidRPr="00485A4C">
        <w:rPr>
          <w:rFonts w:ascii="Tahoma" w:hAnsi="Tahoma" w:cs="Tahoma"/>
          <w:sz w:val="22"/>
          <w:szCs w:val="22"/>
        </w:rPr>
        <w:t xml:space="preserve"> Τα πάγια περιουσιακά στοιχεία αποσβένονται σύμφωνα με την υπολειπόμενη ωφέλιμη ζωή τους. Αυτές οι υπολειπόμενες ωφέλιμες ζωές επανεκτιμώνται περιοδικά για να καθορίσουν κατά πόσο συνεχίζουν να είναι κατάλληλες. Οι πραγματικές ωφέλιμες ζωές των πάγιων περιουσιακών στοιχείων ενδέχεται να διαφοροποιηθούν από παράγοντες όπως η τεχνολογική καινοτομία και τα προγράμματα συντήρησης.</w:t>
      </w:r>
    </w:p>
    <w:p w:rsidR="009A02C8" w:rsidRPr="00485A4C" w:rsidRDefault="009A02C8" w:rsidP="009A02C8">
      <w:pPr>
        <w:spacing w:line="360" w:lineRule="auto"/>
        <w:jc w:val="both"/>
        <w:rPr>
          <w:rFonts w:ascii="Tahoma" w:hAnsi="Tahoma" w:cs="Tahoma"/>
          <w:sz w:val="22"/>
          <w:szCs w:val="22"/>
        </w:rPr>
      </w:pPr>
    </w:p>
    <w:p w:rsidR="009A02C8" w:rsidRPr="00485A4C" w:rsidRDefault="009A02C8" w:rsidP="009A02C8">
      <w:pPr>
        <w:spacing w:line="360" w:lineRule="auto"/>
        <w:jc w:val="both"/>
        <w:rPr>
          <w:rFonts w:ascii="Tahoma" w:hAnsi="Tahoma" w:cs="Tahoma"/>
          <w:sz w:val="22"/>
          <w:szCs w:val="22"/>
        </w:rPr>
      </w:pPr>
      <w:r w:rsidRPr="00485A4C">
        <w:rPr>
          <w:rFonts w:ascii="Tahoma" w:hAnsi="Tahoma" w:cs="Tahoma"/>
          <w:b/>
          <w:sz w:val="22"/>
          <w:szCs w:val="22"/>
          <w:lang w:val="en-GB"/>
        </w:rPr>
        <w:t>ii</w:t>
      </w:r>
      <w:r w:rsidRPr="00485A4C">
        <w:rPr>
          <w:rFonts w:ascii="Tahoma" w:hAnsi="Tahoma" w:cs="Tahoma"/>
          <w:b/>
          <w:sz w:val="22"/>
          <w:szCs w:val="22"/>
        </w:rPr>
        <w:t xml:space="preserve">) Προβλέψεις για επισφαλείς απαιτήσεις: </w:t>
      </w:r>
      <w:r w:rsidRPr="00485A4C">
        <w:rPr>
          <w:rFonts w:ascii="Tahoma" w:hAnsi="Tahoma" w:cs="Tahoma"/>
          <w:sz w:val="22"/>
          <w:szCs w:val="22"/>
        </w:rPr>
        <w:t xml:space="preserve">Η Διοίκηση προβαίνει σε περιοδική επανεκτίμηση της επάρκειας της πρόβλεψης για την απομείωση των απαιτήσεων αυτών, λαμβάνοντας υπόψη την δυνατότητα είσπραξης τους καθώς και τα στοιχεία των Νομικών Συμβούλων </w:t>
      </w:r>
      <w:r w:rsidR="00A77B62" w:rsidRPr="00485A4C">
        <w:rPr>
          <w:rFonts w:ascii="Tahoma" w:hAnsi="Tahoma" w:cs="Tahoma"/>
          <w:sz w:val="22"/>
          <w:szCs w:val="22"/>
        </w:rPr>
        <w:t>της</w:t>
      </w:r>
      <w:r w:rsidRPr="00485A4C">
        <w:rPr>
          <w:rFonts w:ascii="Tahoma" w:hAnsi="Tahoma" w:cs="Tahoma"/>
          <w:sz w:val="22"/>
          <w:szCs w:val="22"/>
        </w:rPr>
        <w:t>, που προκύπτουν βάσει επεξεργασίας ιστορικών δεδομένων και πρόσφατων εξελίξεων των υποθέσεων που διαχειρίζονται.</w:t>
      </w:r>
    </w:p>
    <w:p w:rsidR="009A02C8" w:rsidRPr="00485A4C" w:rsidRDefault="009A02C8" w:rsidP="009A02C8">
      <w:pPr>
        <w:spacing w:line="360" w:lineRule="auto"/>
        <w:jc w:val="both"/>
        <w:rPr>
          <w:rFonts w:ascii="Tahoma" w:hAnsi="Tahoma" w:cs="Tahoma"/>
          <w:sz w:val="22"/>
          <w:szCs w:val="22"/>
        </w:rPr>
      </w:pPr>
    </w:p>
    <w:p w:rsidR="009A02C8" w:rsidRPr="00485A4C" w:rsidRDefault="009A02C8" w:rsidP="009A02C8">
      <w:pPr>
        <w:spacing w:line="360" w:lineRule="auto"/>
        <w:jc w:val="both"/>
        <w:rPr>
          <w:rFonts w:ascii="Tahoma" w:hAnsi="Tahoma" w:cs="Tahoma"/>
          <w:sz w:val="22"/>
          <w:szCs w:val="22"/>
        </w:rPr>
      </w:pPr>
      <w:r w:rsidRPr="00485A4C">
        <w:rPr>
          <w:rFonts w:ascii="Tahoma" w:hAnsi="Tahoma" w:cs="Tahoma"/>
          <w:b/>
          <w:sz w:val="22"/>
          <w:szCs w:val="22"/>
          <w:lang w:val="en-GB"/>
        </w:rPr>
        <w:t>iii</w:t>
      </w:r>
      <w:r w:rsidRPr="00485A4C">
        <w:rPr>
          <w:rFonts w:ascii="Tahoma" w:hAnsi="Tahoma" w:cs="Tahoma"/>
          <w:b/>
          <w:sz w:val="22"/>
          <w:szCs w:val="22"/>
        </w:rPr>
        <w:t>) Πρόβλεψη για φόρο εισοδήματος:</w:t>
      </w:r>
      <w:r w:rsidRPr="00485A4C">
        <w:rPr>
          <w:rFonts w:ascii="Tahoma" w:hAnsi="Tahoma" w:cs="Tahoma"/>
          <w:sz w:val="22"/>
          <w:szCs w:val="22"/>
        </w:rPr>
        <w:t xml:space="preserve"> Η πρόβλεψη για φόρο εισοδήματος με βάση το ΔΛΠ 12 υπολογίζεται με εκτίμηση των φόρων που θα καταβληθούν στις φορολογικές αρχές και περιλαμβάνει τον τρέχοντα φόρο εισοδήματος για κάθε χρήση, πρόβλεψη για τους πρόσθετους φόρους που πιθανόν να προκύψουν από μελλοντικούς φορολογικούς ελέγχους και αναγνώριση μελλοντικών φορολογικών ωφελειών. Η τελική εκκαθάριση των φόρων εισοδήματος ενδέχεται να αποκλίνει από τα σχετικά ποσά τα οποία έχουν καταχωρηθεί στις οικονομικές καταστάσεις.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p>
    <w:p w:rsidR="009A02C8" w:rsidRPr="00485A4C" w:rsidRDefault="00F77896" w:rsidP="009A02C8">
      <w:pPr>
        <w:spacing w:line="360" w:lineRule="auto"/>
        <w:ind w:left="-540"/>
        <w:jc w:val="both"/>
        <w:rPr>
          <w:rFonts w:ascii="Tahoma" w:hAnsi="Tahoma" w:cs="Tahoma"/>
          <w:b/>
          <w:sz w:val="22"/>
          <w:szCs w:val="22"/>
        </w:rPr>
      </w:pPr>
      <w:r w:rsidRPr="00485A4C">
        <w:rPr>
          <w:rFonts w:ascii="Tahoma" w:hAnsi="Tahoma" w:cs="Tahoma"/>
          <w:b/>
          <w:sz w:val="22"/>
          <w:szCs w:val="22"/>
        </w:rPr>
        <w:t>5</w:t>
      </w:r>
      <w:r w:rsidR="009A02C8" w:rsidRPr="00485A4C">
        <w:rPr>
          <w:rFonts w:ascii="Tahoma" w:hAnsi="Tahoma" w:cs="Tahoma"/>
          <w:b/>
          <w:sz w:val="22"/>
          <w:szCs w:val="22"/>
        </w:rPr>
        <w:t>.</w:t>
      </w:r>
      <w:r w:rsidR="007B2DEE" w:rsidRPr="00485A4C">
        <w:rPr>
          <w:rFonts w:ascii="Tahoma" w:hAnsi="Tahoma" w:cs="Tahoma"/>
          <w:b/>
          <w:sz w:val="22"/>
          <w:szCs w:val="22"/>
        </w:rPr>
        <w:t>4</w:t>
      </w:r>
      <w:r w:rsidR="009A02C8" w:rsidRPr="00485A4C">
        <w:rPr>
          <w:rFonts w:ascii="Tahoma" w:hAnsi="Tahoma" w:cs="Tahoma"/>
          <w:b/>
          <w:sz w:val="22"/>
          <w:szCs w:val="22"/>
        </w:rPr>
        <w:t xml:space="preserve"> Ενσώματα πάγια</w:t>
      </w:r>
    </w:p>
    <w:p w:rsidR="009A02C8" w:rsidRPr="00485A4C" w:rsidRDefault="009A02C8" w:rsidP="009A02C8">
      <w:pPr>
        <w:autoSpaceDE w:val="0"/>
        <w:autoSpaceDN w:val="0"/>
        <w:adjustRightInd w:val="0"/>
        <w:spacing w:line="360" w:lineRule="auto"/>
        <w:ind w:left="-540"/>
        <w:jc w:val="both"/>
        <w:rPr>
          <w:rFonts w:ascii="Tahoma" w:hAnsi="Tahoma" w:cs="Tahoma"/>
          <w:color w:val="FF0000"/>
          <w:sz w:val="22"/>
          <w:szCs w:val="22"/>
        </w:rPr>
      </w:pPr>
      <w:r w:rsidRPr="00485A4C">
        <w:rPr>
          <w:rFonts w:ascii="Tahoma" w:hAnsi="Tahoma" w:cs="Tahoma"/>
          <w:sz w:val="22"/>
          <w:szCs w:val="22"/>
        </w:rPr>
        <w:t xml:space="preserve">Τα Οικόπεδα και Κτίρια επιμετρώνται </w:t>
      </w:r>
      <w:r w:rsidR="002C61DC" w:rsidRPr="00485A4C">
        <w:rPr>
          <w:rFonts w:ascii="Tahoma" w:hAnsi="Tahoma" w:cs="Tahoma"/>
          <w:sz w:val="22"/>
          <w:szCs w:val="22"/>
        </w:rPr>
        <w:t>στο κόστος απόκτησης</w:t>
      </w:r>
      <w:r w:rsidRPr="00485A4C">
        <w:rPr>
          <w:rFonts w:ascii="Tahoma" w:hAnsi="Tahoma" w:cs="Tahoma"/>
          <w:sz w:val="22"/>
          <w:szCs w:val="22"/>
        </w:rPr>
        <w:t xml:space="preserve"> τους</w:t>
      </w:r>
      <w:r w:rsidRPr="00485A4C">
        <w:rPr>
          <w:rFonts w:ascii="Tahoma" w:hAnsi="Tahoma" w:cs="Tahoma"/>
          <w:color w:val="FF0000"/>
          <w:sz w:val="22"/>
          <w:szCs w:val="22"/>
        </w:rPr>
        <w:t xml:space="preserve"> </w:t>
      </w:r>
      <w:r w:rsidRPr="00485A4C">
        <w:rPr>
          <w:rFonts w:ascii="Tahoma" w:hAnsi="Tahoma" w:cs="Tahoma"/>
          <w:sz w:val="22"/>
          <w:szCs w:val="22"/>
        </w:rPr>
        <w:t>μείον τις μεταγενέστερες σωρευμένες αποσβέσεις και τις σωρευμένες ζημιές απομείωσης. Η εκτίμηση της εύλογης αξίας</w:t>
      </w:r>
      <w:r w:rsidR="002C61DC" w:rsidRPr="00485A4C">
        <w:rPr>
          <w:rFonts w:ascii="Tahoma" w:hAnsi="Tahoma" w:cs="Tahoma"/>
          <w:sz w:val="22"/>
          <w:szCs w:val="22"/>
        </w:rPr>
        <w:t>, σε περίπτωση διερεύνησης περίπτωσης απομείωσης,</w:t>
      </w:r>
      <w:r w:rsidRPr="00485A4C">
        <w:rPr>
          <w:rFonts w:ascii="Tahoma" w:hAnsi="Tahoma" w:cs="Tahoma"/>
          <w:sz w:val="22"/>
          <w:szCs w:val="22"/>
        </w:rPr>
        <w:t xml:space="preserve"> διενεργείται από ανεξάρτητους εκτιμητές</w:t>
      </w:r>
      <w:r w:rsidRPr="00485A4C">
        <w:rPr>
          <w:rFonts w:ascii="Tahoma" w:hAnsi="Tahoma" w:cs="Tahoma"/>
          <w:color w:val="FF0000"/>
          <w:sz w:val="22"/>
          <w:szCs w:val="22"/>
        </w:rPr>
        <w:t xml:space="preserve"> </w:t>
      </w:r>
      <w:r w:rsidRPr="00485A4C">
        <w:rPr>
          <w:rFonts w:ascii="Tahoma" w:hAnsi="Tahoma" w:cs="Tahoma"/>
          <w:sz w:val="22"/>
          <w:szCs w:val="22"/>
        </w:rPr>
        <w:t xml:space="preserve">εκτός και εάν οι συνθήκες της αγοράς ακινήτων παραμείνουν σχετικά αμετάβλητες. </w:t>
      </w:r>
    </w:p>
    <w:p w:rsidR="009A02C8" w:rsidRPr="00485A4C" w:rsidRDefault="009A02C8" w:rsidP="009A02C8">
      <w:pPr>
        <w:spacing w:line="360" w:lineRule="auto"/>
        <w:ind w:left="-540"/>
        <w:jc w:val="both"/>
        <w:rPr>
          <w:rFonts w:ascii="Tahoma" w:hAnsi="Tahoma" w:cs="Tahoma"/>
          <w:sz w:val="22"/>
          <w:szCs w:val="22"/>
        </w:rPr>
      </w:pPr>
      <w:r w:rsidRPr="00485A4C">
        <w:rPr>
          <w:rFonts w:ascii="Tahoma" w:hAnsi="Tahoma" w:cs="Tahoma"/>
          <w:sz w:val="22"/>
          <w:szCs w:val="22"/>
        </w:rPr>
        <w:t xml:space="preserve"> Τα λοιπά ενσώματα πάγια επιμετρώνται στο ιστορικό κόστος κτήσης, μείον τις συσσωρευμένες αποσβέσεις και τις τυχόν προβλέψεις απομείωσης της αξίας τους.</w:t>
      </w:r>
    </w:p>
    <w:p w:rsidR="009A02C8" w:rsidRPr="00485A4C" w:rsidRDefault="009A02C8" w:rsidP="009A02C8">
      <w:pPr>
        <w:spacing w:line="360" w:lineRule="auto"/>
        <w:ind w:left="-540"/>
        <w:jc w:val="both"/>
        <w:rPr>
          <w:rFonts w:ascii="Tahoma" w:hAnsi="Tahoma" w:cs="Tahoma"/>
          <w:sz w:val="22"/>
          <w:szCs w:val="22"/>
        </w:rPr>
      </w:pPr>
      <w:r w:rsidRPr="00485A4C">
        <w:rPr>
          <w:rFonts w:ascii="Tahoma" w:hAnsi="Tahoma" w:cs="Tahoma"/>
          <w:sz w:val="22"/>
          <w:szCs w:val="22"/>
        </w:rPr>
        <w:lastRenderedPageBreak/>
        <w:t>Αυξήσεις στην λογιστική αξία των ενσωμάτων παγίων που προκύπτουν από αναπροσαρμογές στην εύλογη αξία καταχωρούνται σε αποθεματικό των ιδίων κεφαλαίων. Μειώσεις στη λογιστική αξία φέρονται σε μείωση του αποθεματικού εφόσον στο παρελθόν είχε σχηματισθεί τέτοιο αποθεματικό για το ίδιο περιουσιακό στοιχείο. Μειώσεις της αξίας πέραν του αποθεματικού καθώς και μειώσεις στην λογιστική αξία περιουσιακών στοιχείων, για τα οποία δεν υπάρχει αποθεματικό αναπροσαρμογής, καταχωρείται στ’ αποτελέσματα ως έξοδο.</w:t>
      </w:r>
    </w:p>
    <w:p w:rsidR="009A02C8" w:rsidRPr="00485A4C" w:rsidRDefault="009A02C8" w:rsidP="009A02C8">
      <w:pPr>
        <w:spacing w:line="360" w:lineRule="auto"/>
        <w:ind w:left="-540"/>
        <w:jc w:val="both"/>
        <w:rPr>
          <w:rFonts w:ascii="Tahoma" w:hAnsi="Tahoma" w:cs="Tahoma"/>
          <w:sz w:val="22"/>
          <w:szCs w:val="22"/>
        </w:rPr>
      </w:pPr>
      <w:r w:rsidRPr="00485A4C">
        <w:rPr>
          <w:rFonts w:ascii="Tahoma" w:hAnsi="Tahoma" w:cs="Tahoma"/>
          <w:sz w:val="22"/>
          <w:szCs w:val="22"/>
        </w:rPr>
        <w:t xml:space="preserve"> Οι θετικές διαφορές αναπροσαρμογής των ακινήτων μεταφέρονται απ΄ ευθείας στα κέρδη εις νέον όταν τα ακίνητα από τα οποία προήλθαν διαγράφονται οριστικά (π.χ. εκποίηση).</w:t>
      </w:r>
    </w:p>
    <w:p w:rsidR="009A02C8" w:rsidRPr="00485A4C" w:rsidRDefault="009A02C8" w:rsidP="009A02C8">
      <w:pPr>
        <w:spacing w:line="360" w:lineRule="auto"/>
        <w:ind w:left="-540"/>
        <w:jc w:val="both"/>
        <w:rPr>
          <w:rFonts w:ascii="Tahoma" w:hAnsi="Tahoma" w:cs="Tahoma"/>
          <w:sz w:val="22"/>
          <w:szCs w:val="22"/>
        </w:rPr>
      </w:pPr>
      <w:r w:rsidRPr="00485A4C">
        <w:rPr>
          <w:rFonts w:ascii="Tahoma" w:hAnsi="Tahoma" w:cs="Tahoma"/>
          <w:sz w:val="22"/>
          <w:szCs w:val="22"/>
        </w:rPr>
        <w:t>Η αξία των γηπέδων-οικοπέδων δεν αποσβένεται, οι δε αποσβέσεις των άλλων στοιχείων των ενσωμάτων παγίων υπολογίζονται με την σταθερή μέθοδο με βάση την διάρκεια της  ωφέλιμης ζωής τους, που έχει ως εξής:</w:t>
      </w:r>
    </w:p>
    <w:p w:rsidR="00D06397" w:rsidRPr="00485A4C" w:rsidRDefault="00D06397" w:rsidP="009A02C8">
      <w:pPr>
        <w:spacing w:line="360" w:lineRule="auto"/>
        <w:ind w:left="-540"/>
        <w:jc w:val="both"/>
        <w:rPr>
          <w:rFonts w:ascii="Tahoma" w:hAnsi="Tahoma" w:cs="Tahoma"/>
          <w:sz w:val="22"/>
          <w:szCs w:val="22"/>
        </w:rPr>
      </w:pPr>
    </w:p>
    <w:tbl>
      <w:tblPr>
        <w:tblW w:w="5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1213"/>
        <w:gridCol w:w="645"/>
      </w:tblGrid>
      <w:tr w:rsidR="009A02C8" w:rsidRPr="00485A4C" w:rsidTr="00D06397">
        <w:trPr>
          <w:trHeight w:val="280"/>
          <w:jc w:val="center"/>
        </w:trPr>
        <w:tc>
          <w:tcPr>
            <w:tcW w:w="3199" w:type="dxa"/>
            <w:vAlign w:val="center"/>
          </w:tcPr>
          <w:p w:rsidR="009A02C8" w:rsidRPr="00485A4C" w:rsidRDefault="009A02C8" w:rsidP="006D13AA">
            <w:pPr>
              <w:ind w:left="1"/>
              <w:rPr>
                <w:rFonts w:ascii="Tahoma" w:hAnsi="Tahoma" w:cs="Tahoma"/>
                <w:b/>
                <w:sz w:val="22"/>
                <w:szCs w:val="22"/>
              </w:rPr>
            </w:pPr>
            <w:r w:rsidRPr="00485A4C">
              <w:rPr>
                <w:rFonts w:ascii="Tahoma" w:hAnsi="Tahoma" w:cs="Tahoma"/>
                <w:b/>
                <w:sz w:val="22"/>
                <w:szCs w:val="22"/>
              </w:rPr>
              <w:t>- Κτίρια</w:t>
            </w:r>
          </w:p>
        </w:tc>
        <w:tc>
          <w:tcPr>
            <w:tcW w:w="1217" w:type="dxa"/>
            <w:vAlign w:val="center"/>
          </w:tcPr>
          <w:p w:rsidR="009A02C8" w:rsidRPr="00485A4C" w:rsidRDefault="00A77B62" w:rsidP="00A77B62">
            <w:pPr>
              <w:ind w:left="-183"/>
              <w:jc w:val="center"/>
              <w:rPr>
                <w:rFonts w:ascii="Tahoma" w:hAnsi="Tahoma" w:cs="Tahoma"/>
                <w:b/>
                <w:sz w:val="22"/>
                <w:szCs w:val="22"/>
              </w:rPr>
            </w:pPr>
            <w:r w:rsidRPr="00485A4C">
              <w:rPr>
                <w:rFonts w:ascii="Tahoma" w:hAnsi="Tahoma" w:cs="Tahoma"/>
                <w:b/>
                <w:sz w:val="22"/>
                <w:szCs w:val="22"/>
              </w:rPr>
              <w:t>25</w:t>
            </w:r>
          </w:p>
        </w:tc>
        <w:tc>
          <w:tcPr>
            <w:tcW w:w="635" w:type="dxa"/>
            <w:vAlign w:val="center"/>
          </w:tcPr>
          <w:p w:rsidR="009A02C8" w:rsidRPr="00485A4C" w:rsidRDefault="009A02C8" w:rsidP="006D13AA">
            <w:pPr>
              <w:rPr>
                <w:rFonts w:ascii="Tahoma" w:hAnsi="Tahoma" w:cs="Tahoma"/>
                <w:b/>
                <w:sz w:val="22"/>
                <w:szCs w:val="22"/>
              </w:rPr>
            </w:pPr>
            <w:r w:rsidRPr="00485A4C">
              <w:rPr>
                <w:rFonts w:ascii="Tahoma" w:hAnsi="Tahoma" w:cs="Tahoma"/>
                <w:b/>
                <w:sz w:val="22"/>
                <w:szCs w:val="22"/>
              </w:rPr>
              <w:t>Έτη</w:t>
            </w:r>
          </w:p>
        </w:tc>
      </w:tr>
      <w:tr w:rsidR="00A77B62" w:rsidRPr="00485A4C" w:rsidTr="00D06397">
        <w:trPr>
          <w:trHeight w:val="280"/>
          <w:jc w:val="center"/>
        </w:trPr>
        <w:tc>
          <w:tcPr>
            <w:tcW w:w="3199" w:type="dxa"/>
            <w:vAlign w:val="center"/>
          </w:tcPr>
          <w:p w:rsidR="00A77B62" w:rsidRPr="00485A4C" w:rsidRDefault="00A77B62" w:rsidP="006D13AA">
            <w:pPr>
              <w:ind w:left="1"/>
              <w:rPr>
                <w:rFonts w:ascii="Tahoma" w:hAnsi="Tahoma" w:cs="Tahoma"/>
                <w:b/>
                <w:sz w:val="22"/>
                <w:szCs w:val="22"/>
              </w:rPr>
            </w:pPr>
            <w:r w:rsidRPr="00485A4C">
              <w:rPr>
                <w:rFonts w:ascii="Tahoma" w:hAnsi="Tahoma" w:cs="Tahoma"/>
                <w:b/>
                <w:sz w:val="22"/>
                <w:szCs w:val="22"/>
              </w:rPr>
              <w:t>-Μηχανήματα</w:t>
            </w:r>
          </w:p>
        </w:tc>
        <w:tc>
          <w:tcPr>
            <w:tcW w:w="1217" w:type="dxa"/>
            <w:vAlign w:val="center"/>
          </w:tcPr>
          <w:p w:rsidR="00A77B62" w:rsidRPr="00485A4C" w:rsidRDefault="00A77B62" w:rsidP="00A77B62">
            <w:pPr>
              <w:ind w:left="-183"/>
              <w:jc w:val="center"/>
              <w:rPr>
                <w:rFonts w:ascii="Tahoma" w:hAnsi="Tahoma" w:cs="Tahoma"/>
                <w:b/>
                <w:sz w:val="22"/>
                <w:szCs w:val="22"/>
              </w:rPr>
            </w:pPr>
            <w:r w:rsidRPr="00485A4C">
              <w:rPr>
                <w:rFonts w:ascii="Tahoma" w:hAnsi="Tahoma" w:cs="Tahoma"/>
                <w:b/>
                <w:sz w:val="22"/>
                <w:szCs w:val="22"/>
              </w:rPr>
              <w:t>10</w:t>
            </w:r>
          </w:p>
        </w:tc>
        <w:tc>
          <w:tcPr>
            <w:tcW w:w="635" w:type="dxa"/>
            <w:vAlign w:val="center"/>
          </w:tcPr>
          <w:p w:rsidR="00A77B62" w:rsidRPr="00485A4C" w:rsidRDefault="00A77B62" w:rsidP="006D13AA">
            <w:pPr>
              <w:rPr>
                <w:rFonts w:ascii="Tahoma" w:hAnsi="Tahoma" w:cs="Tahoma"/>
                <w:b/>
                <w:sz w:val="22"/>
                <w:szCs w:val="22"/>
              </w:rPr>
            </w:pPr>
            <w:r w:rsidRPr="00485A4C">
              <w:rPr>
                <w:rFonts w:ascii="Tahoma" w:hAnsi="Tahoma" w:cs="Tahoma"/>
                <w:b/>
                <w:sz w:val="22"/>
                <w:szCs w:val="22"/>
              </w:rPr>
              <w:t>Έτη</w:t>
            </w:r>
          </w:p>
        </w:tc>
      </w:tr>
      <w:tr w:rsidR="00A77B62" w:rsidRPr="00485A4C" w:rsidTr="00D06397">
        <w:trPr>
          <w:trHeight w:val="280"/>
          <w:jc w:val="center"/>
        </w:trPr>
        <w:tc>
          <w:tcPr>
            <w:tcW w:w="3199" w:type="dxa"/>
            <w:vAlign w:val="center"/>
          </w:tcPr>
          <w:p w:rsidR="00A77B62" w:rsidRPr="00485A4C" w:rsidRDefault="00A77B62" w:rsidP="006D13AA">
            <w:pPr>
              <w:ind w:left="1"/>
              <w:rPr>
                <w:rFonts w:ascii="Tahoma" w:hAnsi="Tahoma" w:cs="Tahoma"/>
                <w:b/>
                <w:sz w:val="22"/>
                <w:szCs w:val="22"/>
              </w:rPr>
            </w:pPr>
            <w:r w:rsidRPr="00485A4C">
              <w:rPr>
                <w:rFonts w:ascii="Tahoma" w:hAnsi="Tahoma" w:cs="Tahoma"/>
                <w:b/>
                <w:sz w:val="22"/>
                <w:szCs w:val="22"/>
              </w:rPr>
              <w:t>-Φωτοβολταϊκά</w:t>
            </w:r>
          </w:p>
        </w:tc>
        <w:tc>
          <w:tcPr>
            <w:tcW w:w="1217" w:type="dxa"/>
            <w:vAlign w:val="center"/>
          </w:tcPr>
          <w:p w:rsidR="00A77B62" w:rsidRPr="00485A4C" w:rsidRDefault="00A77B62" w:rsidP="00A77B62">
            <w:pPr>
              <w:ind w:left="-183"/>
              <w:jc w:val="center"/>
              <w:rPr>
                <w:rFonts w:ascii="Tahoma" w:hAnsi="Tahoma" w:cs="Tahoma"/>
                <w:b/>
                <w:sz w:val="22"/>
                <w:szCs w:val="22"/>
              </w:rPr>
            </w:pPr>
            <w:r w:rsidRPr="00485A4C">
              <w:rPr>
                <w:rFonts w:ascii="Tahoma" w:hAnsi="Tahoma" w:cs="Tahoma"/>
                <w:b/>
                <w:sz w:val="22"/>
                <w:szCs w:val="22"/>
              </w:rPr>
              <w:t>25</w:t>
            </w:r>
          </w:p>
        </w:tc>
        <w:tc>
          <w:tcPr>
            <w:tcW w:w="635" w:type="dxa"/>
            <w:vAlign w:val="center"/>
          </w:tcPr>
          <w:p w:rsidR="00A77B62" w:rsidRPr="00485A4C" w:rsidRDefault="00A77B62" w:rsidP="006D13AA">
            <w:pPr>
              <w:rPr>
                <w:rFonts w:ascii="Tahoma" w:hAnsi="Tahoma" w:cs="Tahoma"/>
                <w:b/>
                <w:sz w:val="22"/>
                <w:szCs w:val="22"/>
              </w:rPr>
            </w:pPr>
            <w:r w:rsidRPr="00485A4C">
              <w:rPr>
                <w:rFonts w:ascii="Tahoma" w:hAnsi="Tahoma" w:cs="Tahoma"/>
                <w:b/>
                <w:sz w:val="22"/>
                <w:szCs w:val="22"/>
              </w:rPr>
              <w:t>Έτη</w:t>
            </w:r>
          </w:p>
        </w:tc>
      </w:tr>
      <w:tr w:rsidR="009A02C8" w:rsidRPr="00485A4C" w:rsidTr="00D06397">
        <w:trPr>
          <w:trHeight w:val="299"/>
          <w:jc w:val="center"/>
        </w:trPr>
        <w:tc>
          <w:tcPr>
            <w:tcW w:w="3199" w:type="dxa"/>
            <w:vAlign w:val="center"/>
          </w:tcPr>
          <w:p w:rsidR="009A02C8" w:rsidRPr="00485A4C" w:rsidRDefault="009A02C8" w:rsidP="006D13AA">
            <w:pPr>
              <w:ind w:left="1"/>
              <w:rPr>
                <w:rFonts w:ascii="Tahoma" w:hAnsi="Tahoma" w:cs="Tahoma"/>
                <w:b/>
                <w:sz w:val="22"/>
                <w:szCs w:val="22"/>
              </w:rPr>
            </w:pPr>
            <w:r w:rsidRPr="00485A4C">
              <w:rPr>
                <w:rFonts w:ascii="Tahoma" w:hAnsi="Tahoma" w:cs="Tahoma"/>
                <w:b/>
                <w:sz w:val="22"/>
                <w:szCs w:val="22"/>
              </w:rPr>
              <w:t>- Έπιπλα και λοιπός εξοπλισμός</w:t>
            </w:r>
          </w:p>
        </w:tc>
        <w:tc>
          <w:tcPr>
            <w:tcW w:w="1217" w:type="dxa"/>
            <w:vAlign w:val="center"/>
          </w:tcPr>
          <w:p w:rsidR="009A02C8" w:rsidRPr="00485A4C" w:rsidRDefault="009A02C8" w:rsidP="00A77B62">
            <w:pPr>
              <w:ind w:left="-183"/>
              <w:jc w:val="center"/>
              <w:rPr>
                <w:rFonts w:ascii="Tahoma" w:hAnsi="Tahoma" w:cs="Tahoma"/>
                <w:b/>
                <w:sz w:val="22"/>
                <w:szCs w:val="22"/>
              </w:rPr>
            </w:pPr>
            <w:r w:rsidRPr="00485A4C">
              <w:rPr>
                <w:rFonts w:ascii="Tahoma" w:hAnsi="Tahoma" w:cs="Tahoma"/>
                <w:b/>
                <w:sz w:val="22"/>
                <w:szCs w:val="22"/>
              </w:rPr>
              <w:t>5-10</w:t>
            </w:r>
          </w:p>
        </w:tc>
        <w:tc>
          <w:tcPr>
            <w:tcW w:w="635" w:type="dxa"/>
            <w:vAlign w:val="center"/>
          </w:tcPr>
          <w:p w:rsidR="009A02C8" w:rsidRPr="00485A4C" w:rsidRDefault="009A02C8" w:rsidP="006D13AA">
            <w:pPr>
              <w:rPr>
                <w:rFonts w:ascii="Tahoma" w:hAnsi="Tahoma" w:cs="Tahoma"/>
                <w:b/>
                <w:sz w:val="22"/>
                <w:szCs w:val="22"/>
              </w:rPr>
            </w:pPr>
            <w:r w:rsidRPr="00485A4C">
              <w:rPr>
                <w:rFonts w:ascii="Tahoma" w:hAnsi="Tahoma" w:cs="Tahoma"/>
                <w:b/>
                <w:sz w:val="22"/>
                <w:szCs w:val="22"/>
              </w:rPr>
              <w:t>Έτη</w:t>
            </w:r>
          </w:p>
        </w:tc>
      </w:tr>
      <w:tr w:rsidR="009A02C8" w:rsidRPr="00485A4C" w:rsidTr="00D06397">
        <w:trPr>
          <w:trHeight w:val="280"/>
          <w:jc w:val="center"/>
        </w:trPr>
        <w:tc>
          <w:tcPr>
            <w:tcW w:w="3199" w:type="dxa"/>
            <w:vAlign w:val="center"/>
          </w:tcPr>
          <w:p w:rsidR="009A02C8" w:rsidRPr="00485A4C" w:rsidRDefault="009A02C8" w:rsidP="006D13AA">
            <w:pPr>
              <w:ind w:left="1"/>
              <w:rPr>
                <w:rFonts w:ascii="Tahoma" w:hAnsi="Tahoma" w:cs="Tahoma"/>
                <w:b/>
                <w:sz w:val="22"/>
                <w:szCs w:val="22"/>
              </w:rPr>
            </w:pPr>
            <w:r w:rsidRPr="00485A4C">
              <w:rPr>
                <w:rFonts w:ascii="Tahoma" w:hAnsi="Tahoma" w:cs="Tahoma"/>
                <w:b/>
                <w:sz w:val="22"/>
                <w:szCs w:val="22"/>
              </w:rPr>
              <w:t>- Αυτοκίνητα</w:t>
            </w:r>
          </w:p>
        </w:tc>
        <w:tc>
          <w:tcPr>
            <w:tcW w:w="1217" w:type="dxa"/>
            <w:vAlign w:val="center"/>
          </w:tcPr>
          <w:p w:rsidR="009A02C8" w:rsidRPr="00485A4C" w:rsidRDefault="009A02C8" w:rsidP="00A77B62">
            <w:pPr>
              <w:ind w:left="-183"/>
              <w:jc w:val="center"/>
              <w:rPr>
                <w:rFonts w:ascii="Tahoma" w:hAnsi="Tahoma" w:cs="Tahoma"/>
                <w:b/>
                <w:sz w:val="22"/>
                <w:szCs w:val="22"/>
              </w:rPr>
            </w:pPr>
            <w:r w:rsidRPr="00485A4C">
              <w:rPr>
                <w:rFonts w:ascii="Tahoma" w:hAnsi="Tahoma" w:cs="Tahoma"/>
                <w:b/>
                <w:sz w:val="22"/>
                <w:szCs w:val="22"/>
              </w:rPr>
              <w:t>5-</w:t>
            </w:r>
            <w:r w:rsidR="00A77B62" w:rsidRPr="00485A4C">
              <w:rPr>
                <w:rFonts w:ascii="Tahoma" w:hAnsi="Tahoma" w:cs="Tahoma"/>
                <w:b/>
                <w:sz w:val="22"/>
                <w:szCs w:val="22"/>
              </w:rPr>
              <w:t>8</w:t>
            </w:r>
          </w:p>
        </w:tc>
        <w:tc>
          <w:tcPr>
            <w:tcW w:w="635" w:type="dxa"/>
            <w:vAlign w:val="center"/>
          </w:tcPr>
          <w:p w:rsidR="009A02C8" w:rsidRPr="00485A4C" w:rsidRDefault="009A02C8" w:rsidP="006D13AA">
            <w:pPr>
              <w:rPr>
                <w:rFonts w:ascii="Tahoma" w:hAnsi="Tahoma" w:cs="Tahoma"/>
                <w:b/>
                <w:sz w:val="22"/>
                <w:szCs w:val="22"/>
              </w:rPr>
            </w:pPr>
            <w:r w:rsidRPr="00485A4C">
              <w:rPr>
                <w:rFonts w:ascii="Tahoma" w:hAnsi="Tahoma" w:cs="Tahoma"/>
                <w:b/>
                <w:sz w:val="22"/>
                <w:szCs w:val="22"/>
              </w:rPr>
              <w:t>Έτη</w:t>
            </w:r>
          </w:p>
        </w:tc>
      </w:tr>
    </w:tbl>
    <w:p w:rsidR="009A02C8" w:rsidRPr="00485A4C" w:rsidRDefault="009A02C8" w:rsidP="009A02C8">
      <w:pPr>
        <w:ind w:left="-540"/>
        <w:jc w:val="both"/>
        <w:rPr>
          <w:rFonts w:ascii="Tahoma" w:hAnsi="Tahoma" w:cs="Tahoma"/>
          <w:sz w:val="22"/>
          <w:szCs w:val="22"/>
        </w:rPr>
      </w:pPr>
      <w:r w:rsidRPr="00485A4C">
        <w:rPr>
          <w:rFonts w:ascii="Tahoma" w:hAnsi="Tahoma" w:cs="Tahoma"/>
          <w:sz w:val="22"/>
          <w:szCs w:val="22"/>
        </w:rPr>
        <w:t xml:space="preserve"> </w:t>
      </w:r>
    </w:p>
    <w:p w:rsidR="00D06397" w:rsidRPr="00485A4C" w:rsidRDefault="00D06397" w:rsidP="009A02C8">
      <w:pPr>
        <w:ind w:left="-540"/>
        <w:jc w:val="both"/>
        <w:rPr>
          <w:rFonts w:ascii="Tahoma" w:hAnsi="Tahoma" w:cs="Tahoma"/>
          <w:sz w:val="22"/>
          <w:szCs w:val="22"/>
        </w:rPr>
      </w:pPr>
    </w:p>
    <w:p w:rsidR="009A02C8" w:rsidRPr="00485A4C" w:rsidRDefault="009A02C8" w:rsidP="009A02C8">
      <w:pPr>
        <w:spacing w:line="360" w:lineRule="auto"/>
        <w:ind w:left="-540"/>
        <w:jc w:val="both"/>
        <w:rPr>
          <w:rFonts w:ascii="Tahoma" w:hAnsi="Tahoma" w:cs="Tahoma"/>
          <w:sz w:val="22"/>
          <w:szCs w:val="22"/>
        </w:rPr>
      </w:pPr>
      <w:r w:rsidRPr="00485A4C">
        <w:rPr>
          <w:rFonts w:ascii="Tahoma" w:hAnsi="Tahoma" w:cs="Tahoma"/>
          <w:sz w:val="22"/>
          <w:szCs w:val="22"/>
        </w:rPr>
        <w:t xml:space="preserve">Η ωφέλιμη ζωή των κτιρίων υπολογίζεται με ημερομηνία βάσης το έτος </w:t>
      </w:r>
      <w:r w:rsidR="002C61DC" w:rsidRPr="00485A4C">
        <w:rPr>
          <w:rFonts w:ascii="Tahoma" w:hAnsi="Tahoma" w:cs="Tahoma"/>
          <w:sz w:val="22"/>
          <w:szCs w:val="22"/>
        </w:rPr>
        <w:t>απόκτησης τους.</w:t>
      </w:r>
    </w:p>
    <w:p w:rsidR="009A02C8" w:rsidRPr="00485A4C" w:rsidRDefault="009A02C8" w:rsidP="009A02C8">
      <w:pPr>
        <w:spacing w:line="360" w:lineRule="auto"/>
        <w:ind w:left="-540"/>
        <w:jc w:val="both"/>
        <w:rPr>
          <w:rFonts w:ascii="Tahoma" w:hAnsi="Tahoma" w:cs="Tahoma"/>
          <w:sz w:val="22"/>
          <w:szCs w:val="22"/>
        </w:rPr>
      </w:pPr>
      <w:r w:rsidRPr="00485A4C">
        <w:rPr>
          <w:rFonts w:ascii="Tahoma" w:hAnsi="Tahoma" w:cs="Tahoma"/>
          <w:sz w:val="22"/>
          <w:szCs w:val="22"/>
        </w:rPr>
        <w:t>Οι υπολειμματικές αξίες και οι ωφέλιμες ζωές των ενσωμάτων παγίων υπόκεινται σε επανεξέταση σε κάθε ημερομηνία ισολογισμού.</w:t>
      </w:r>
    </w:p>
    <w:p w:rsidR="009A02C8" w:rsidRPr="00485A4C" w:rsidRDefault="009A02C8" w:rsidP="009A02C8">
      <w:pPr>
        <w:spacing w:line="360" w:lineRule="auto"/>
        <w:ind w:left="-540"/>
        <w:jc w:val="both"/>
        <w:rPr>
          <w:rFonts w:ascii="Tahoma" w:hAnsi="Tahoma" w:cs="Tahoma"/>
          <w:sz w:val="22"/>
          <w:szCs w:val="22"/>
        </w:rPr>
      </w:pPr>
      <w:r w:rsidRPr="00485A4C">
        <w:rPr>
          <w:rFonts w:ascii="Tahoma" w:hAnsi="Tahoma" w:cs="Tahoma"/>
          <w:sz w:val="22"/>
          <w:szCs w:val="22"/>
        </w:rPr>
        <w:t>Η καταχώρηση των προσθηκών, στα βιβλία της εταιρείας, γίνεται στο κόστος κτήσης, το οποίο περιλαμβάνει όλες τις άμεσα επιρριπτέες δαπάνες για την απόκτηση των στοιχείων. Μεταγενέστερες δαπάνες καταχωρούνται σε επαύξηση της λογιστικής αξίας των ενσωμάτων παγίων μόνον αν πιθανολογείται ότι μελλοντικά οικονομικά οφέλη θα εισρεύσουν στην εταιρεία και το κόστος τους μπορεί να αποτιμηθεί αξιόπιστα. Οι επισκευές και οι συντηρήσεις, όταν γίνονται, καταχωρούνται σε βάρος των  αποτελεσμάτων χρήσης.</w:t>
      </w:r>
    </w:p>
    <w:p w:rsidR="009A02C8" w:rsidRPr="00485A4C" w:rsidRDefault="009A02C8" w:rsidP="009A02C8">
      <w:pPr>
        <w:spacing w:line="360" w:lineRule="auto"/>
        <w:ind w:left="-540"/>
        <w:jc w:val="both"/>
        <w:rPr>
          <w:rFonts w:ascii="Tahoma" w:hAnsi="Tahoma" w:cs="Tahoma"/>
          <w:sz w:val="22"/>
          <w:szCs w:val="22"/>
        </w:rPr>
      </w:pPr>
      <w:r w:rsidRPr="00485A4C">
        <w:rPr>
          <w:rFonts w:ascii="Tahoma" w:hAnsi="Tahoma" w:cs="Tahoma"/>
          <w:sz w:val="22"/>
          <w:szCs w:val="22"/>
        </w:rPr>
        <w:t>Πάγια που έχουν αποκτηθεί με χρηματοδοτικές μισθώσεις αποσβένονται κατά τη διάρκεια της εκτιμώμενης ωφέλιμης ζωής τους με την σταθερή μέθοδο απόσβεσης.</w:t>
      </w:r>
    </w:p>
    <w:p w:rsidR="009A02C8" w:rsidRPr="00485A4C" w:rsidRDefault="009A02C8" w:rsidP="009A02C8">
      <w:pPr>
        <w:autoSpaceDE w:val="0"/>
        <w:autoSpaceDN w:val="0"/>
        <w:adjustRightInd w:val="0"/>
        <w:ind w:left="-540"/>
        <w:rPr>
          <w:rFonts w:ascii="Tahoma" w:hAnsi="Tahoma" w:cs="Tahoma"/>
          <w:b/>
          <w:bCs/>
          <w:sz w:val="22"/>
          <w:szCs w:val="22"/>
        </w:rPr>
      </w:pPr>
    </w:p>
    <w:p w:rsidR="009A02C8" w:rsidRPr="00485A4C" w:rsidRDefault="00F77896" w:rsidP="009A02C8">
      <w:pPr>
        <w:spacing w:line="360" w:lineRule="auto"/>
        <w:ind w:left="-540"/>
        <w:jc w:val="both"/>
        <w:rPr>
          <w:rFonts w:ascii="Tahoma" w:hAnsi="Tahoma" w:cs="Tahoma"/>
          <w:b/>
          <w:sz w:val="22"/>
          <w:szCs w:val="22"/>
        </w:rPr>
      </w:pPr>
      <w:r w:rsidRPr="00485A4C">
        <w:rPr>
          <w:rFonts w:ascii="Tahoma" w:hAnsi="Tahoma" w:cs="Tahoma"/>
          <w:b/>
          <w:sz w:val="22"/>
          <w:szCs w:val="22"/>
        </w:rPr>
        <w:t>5</w:t>
      </w:r>
      <w:r w:rsidR="00F36443" w:rsidRPr="00485A4C">
        <w:rPr>
          <w:rFonts w:ascii="Tahoma" w:hAnsi="Tahoma" w:cs="Tahoma"/>
          <w:b/>
          <w:sz w:val="22"/>
          <w:szCs w:val="22"/>
        </w:rPr>
        <w:t>.</w:t>
      </w:r>
      <w:r w:rsidR="007B2DEE" w:rsidRPr="00485A4C">
        <w:rPr>
          <w:rFonts w:ascii="Tahoma" w:hAnsi="Tahoma" w:cs="Tahoma"/>
          <w:b/>
          <w:sz w:val="22"/>
          <w:szCs w:val="22"/>
        </w:rPr>
        <w:t>5</w:t>
      </w:r>
      <w:r w:rsidR="009A02C8" w:rsidRPr="00485A4C">
        <w:rPr>
          <w:rFonts w:ascii="Tahoma" w:hAnsi="Tahoma" w:cs="Tahoma"/>
          <w:b/>
          <w:sz w:val="22"/>
          <w:szCs w:val="22"/>
        </w:rPr>
        <w:t xml:space="preserve"> Ά</w:t>
      </w:r>
      <w:r w:rsidR="008B7410" w:rsidRPr="00485A4C">
        <w:rPr>
          <w:rFonts w:ascii="Tahoma" w:hAnsi="Tahoma" w:cs="Tahoma"/>
          <w:b/>
          <w:sz w:val="22"/>
          <w:szCs w:val="22"/>
        </w:rPr>
        <w:t>ϋ</w:t>
      </w:r>
      <w:r w:rsidR="009A02C8" w:rsidRPr="00485A4C">
        <w:rPr>
          <w:rFonts w:ascii="Tahoma" w:hAnsi="Tahoma" w:cs="Tahoma"/>
          <w:b/>
          <w:sz w:val="22"/>
          <w:szCs w:val="22"/>
        </w:rPr>
        <w:t xml:space="preserve">λα περιουσιακά στοιχεία </w:t>
      </w:r>
    </w:p>
    <w:p w:rsidR="009A02C8" w:rsidRPr="00485A4C" w:rsidRDefault="00024E16" w:rsidP="009A02C8">
      <w:pPr>
        <w:tabs>
          <w:tab w:val="left" w:pos="2400"/>
        </w:tabs>
        <w:autoSpaceDE w:val="0"/>
        <w:autoSpaceDN w:val="0"/>
        <w:adjustRightInd w:val="0"/>
        <w:spacing w:line="360" w:lineRule="auto"/>
        <w:ind w:left="-540"/>
        <w:jc w:val="both"/>
        <w:rPr>
          <w:rFonts w:ascii="Tahoma" w:hAnsi="Tahoma" w:cs="Tahoma"/>
          <w:i/>
          <w:iCs/>
          <w:sz w:val="22"/>
          <w:szCs w:val="22"/>
        </w:rPr>
      </w:pPr>
      <w:r w:rsidRPr="00485A4C">
        <w:rPr>
          <w:rFonts w:ascii="Tahoma" w:hAnsi="Tahoma" w:cs="Tahoma"/>
          <w:i/>
          <w:iCs/>
          <w:sz w:val="22"/>
          <w:szCs w:val="22"/>
        </w:rPr>
        <w:t>α) Λογισμικά</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lastRenderedPageBreak/>
        <w:t xml:space="preserve">Η αξία µε βάση την οποία κεφαλαιοποιείται το αποκτηθέν λογισμικό, είναι ίση µε το κόστος που απαιτήθηκε για την αγορά και λειτουργία του. Το κόστος αποσβένεται με τη σταθερή μέθοδο απόσβεσης σε πέντε έτη. Δαπάνες που απαιτούνται για την συντήρηση των λογισμικών προγραμμάτων καταχωρούνται ως έξοδα όταν πραγματοποιούνται. </w:t>
      </w:r>
    </w:p>
    <w:p w:rsidR="00F36443" w:rsidRPr="00485A4C" w:rsidRDefault="00F36443" w:rsidP="009A02C8">
      <w:pPr>
        <w:autoSpaceDE w:val="0"/>
        <w:autoSpaceDN w:val="0"/>
        <w:adjustRightInd w:val="0"/>
        <w:spacing w:line="360" w:lineRule="auto"/>
        <w:ind w:left="-540"/>
        <w:jc w:val="both"/>
        <w:rPr>
          <w:rFonts w:ascii="Tahoma" w:hAnsi="Tahoma" w:cs="Tahoma"/>
          <w:b/>
          <w:bCs/>
          <w:sz w:val="22"/>
          <w:szCs w:val="22"/>
        </w:rPr>
      </w:pPr>
    </w:p>
    <w:p w:rsidR="00F36443" w:rsidRPr="00485A4C" w:rsidRDefault="00F36443" w:rsidP="00F36443">
      <w:pPr>
        <w:spacing w:line="360" w:lineRule="auto"/>
        <w:ind w:left="-540"/>
        <w:jc w:val="both"/>
        <w:rPr>
          <w:rFonts w:ascii="Tahoma" w:hAnsi="Tahoma" w:cs="Tahoma"/>
          <w:b/>
          <w:sz w:val="22"/>
          <w:szCs w:val="22"/>
        </w:rPr>
      </w:pPr>
      <w:bookmarkStart w:id="17" w:name="_Toc453162213"/>
      <w:r w:rsidRPr="00485A4C">
        <w:rPr>
          <w:rFonts w:ascii="Tahoma" w:hAnsi="Tahoma" w:cs="Tahoma"/>
          <w:b/>
          <w:sz w:val="22"/>
          <w:szCs w:val="22"/>
        </w:rPr>
        <w:t>5.</w:t>
      </w:r>
      <w:r w:rsidR="007B2DEE" w:rsidRPr="00485A4C">
        <w:rPr>
          <w:rFonts w:ascii="Tahoma" w:hAnsi="Tahoma" w:cs="Tahoma"/>
          <w:b/>
          <w:sz w:val="22"/>
          <w:szCs w:val="22"/>
        </w:rPr>
        <w:t>6</w:t>
      </w:r>
      <w:r w:rsidRPr="00485A4C">
        <w:rPr>
          <w:rFonts w:ascii="Tahoma" w:hAnsi="Tahoma" w:cs="Tahoma"/>
          <w:b/>
          <w:sz w:val="22"/>
          <w:szCs w:val="22"/>
        </w:rPr>
        <w:t>. Μισθώσεις</w:t>
      </w:r>
      <w:bookmarkEnd w:id="17"/>
    </w:p>
    <w:p w:rsidR="00F36443" w:rsidRPr="00485A4C" w:rsidRDefault="00F36443" w:rsidP="00F36443">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Περιπτώσεις στις οποίες η Εταιρεία ενδέχεται να είναι μισθωτής:</w:t>
      </w:r>
    </w:p>
    <w:p w:rsidR="00F36443" w:rsidRPr="00485A4C" w:rsidRDefault="00F36443" w:rsidP="00F36443">
      <w:pPr>
        <w:autoSpaceDE w:val="0"/>
        <w:autoSpaceDN w:val="0"/>
        <w:adjustRightInd w:val="0"/>
        <w:spacing w:line="360" w:lineRule="auto"/>
        <w:ind w:left="-540"/>
        <w:jc w:val="both"/>
        <w:rPr>
          <w:rFonts w:ascii="Tahoma" w:hAnsi="Tahoma" w:cs="Tahoma"/>
          <w:sz w:val="22"/>
          <w:szCs w:val="22"/>
        </w:rPr>
      </w:pPr>
      <w:r w:rsidRPr="00485A4C">
        <w:rPr>
          <w:rFonts w:ascii="Tahoma" w:hAnsi="Tahoma" w:cs="Tahoma"/>
          <w:b/>
          <w:i/>
          <w:sz w:val="22"/>
          <w:szCs w:val="22"/>
        </w:rPr>
        <w:t>(i) Λειτουργική μίσθωση</w:t>
      </w:r>
      <w:r w:rsidRPr="00485A4C">
        <w:rPr>
          <w:rFonts w:ascii="Tahoma" w:hAnsi="Tahoma" w:cs="Tahoma"/>
          <w:sz w:val="22"/>
          <w:szCs w:val="22"/>
        </w:rPr>
        <w:t xml:space="preserve"> – Μισθώσεις όπου ουσιωδώς οι κίνδυνοι και τα οφέλη της ιδιοκτησίας διατηρούνται από τον εκμισθωτή ταξινομούνται ως λειτουργικές μισθώσεις. Οι πληρωμές που πραγματοποιούνται για λειτουργικές μισθώσεις, συμπεριλαμβανομένων των προκαταβολών, (καθαρές από τυχόν κίνητρα που προσφέρθηκαν από τον εκμισθωτή) αναγνωρίζονται στα αποτελέσματα χρήσης, με τη σταθερή μέθοδο, αναλογικά κατά τη διάρκεια της μίσθωσης. </w:t>
      </w:r>
    </w:p>
    <w:p w:rsidR="00F36443" w:rsidRPr="00485A4C" w:rsidRDefault="00F36443" w:rsidP="00F36443">
      <w:pPr>
        <w:autoSpaceDE w:val="0"/>
        <w:autoSpaceDN w:val="0"/>
        <w:adjustRightInd w:val="0"/>
        <w:spacing w:line="360" w:lineRule="auto"/>
        <w:ind w:left="-540"/>
        <w:jc w:val="both"/>
        <w:rPr>
          <w:rFonts w:ascii="Tahoma" w:hAnsi="Tahoma" w:cs="Tahoma"/>
          <w:sz w:val="22"/>
          <w:szCs w:val="22"/>
        </w:rPr>
      </w:pPr>
      <w:r w:rsidRPr="00485A4C">
        <w:rPr>
          <w:rFonts w:ascii="Tahoma" w:hAnsi="Tahoma" w:cs="Tahoma"/>
          <w:b/>
          <w:i/>
          <w:sz w:val="22"/>
          <w:szCs w:val="22"/>
        </w:rPr>
        <w:t>(ii) Χρηματοδοτική μίσθωση</w:t>
      </w:r>
      <w:r w:rsidRPr="00485A4C">
        <w:rPr>
          <w:rFonts w:ascii="Tahoma" w:hAnsi="Tahoma" w:cs="Tahoma"/>
          <w:sz w:val="22"/>
          <w:szCs w:val="22"/>
        </w:rPr>
        <w:t xml:space="preserve"> – Οι μισθώσεις παγίων όπου η Εταιρεία αναλαμβάνει ουσιωδώς όλους τους κινδύνους και οφέλη της ιδιοκτησίας ταξινομούνται ως χρηματοδοτικές μισθώσεις. Οι χρηματοδοτικές μισθώσεις κεφαλαιοποιούνται με την έναρξη της μίσθωσης στη χαμηλότερη τιμή μεταξύ της εύλογης αξίας του παγίου στοιχείου και της παρούσας αξίας των ελάχιστων μισθωμάτων. Κάθε μίσθωμα επιμερίζεται μεταξύ της υποχρέωσης και των χρηματοοικονομικών εξόδων έτσι ώστε να επιτυγχάνεται ένα σταθερό επιτόκιο στην υπολειπόμενη χρηματοοικονομική υποχρέωση. Η αντίστοιχη υποχρέωση προς το μισθωτή, καθαρή από χρηματοοικονομικά έξοδα, απεικονίζεται στον ισολογισμό ως υποχρέωση χρηματοδοτικής μίσθωσης. Τα αντίστοιχα χρηματοοικονομικά έξοδα καταχωρούνται στα αποτελέσματα. Τα πάγια που αποκτήθηκαν µε χρηματοδοτική μίσθωση αποσβένονται βάσει της ωφέλιμης ζωής τους.</w:t>
      </w:r>
    </w:p>
    <w:p w:rsidR="009A02C8" w:rsidRPr="00485A4C" w:rsidRDefault="00F77896" w:rsidP="009A02C8">
      <w:pPr>
        <w:autoSpaceDE w:val="0"/>
        <w:autoSpaceDN w:val="0"/>
        <w:adjustRightInd w:val="0"/>
        <w:spacing w:line="360" w:lineRule="auto"/>
        <w:ind w:left="-540"/>
        <w:jc w:val="both"/>
        <w:rPr>
          <w:rFonts w:ascii="Tahoma" w:hAnsi="Tahoma" w:cs="Tahoma"/>
          <w:b/>
          <w:bCs/>
          <w:sz w:val="22"/>
          <w:szCs w:val="22"/>
        </w:rPr>
      </w:pPr>
      <w:r w:rsidRPr="00485A4C">
        <w:rPr>
          <w:rFonts w:ascii="Tahoma" w:hAnsi="Tahoma" w:cs="Tahoma"/>
          <w:b/>
          <w:bCs/>
          <w:sz w:val="22"/>
          <w:szCs w:val="22"/>
        </w:rPr>
        <w:t>5</w:t>
      </w:r>
      <w:r w:rsidR="009A02C8" w:rsidRPr="00485A4C">
        <w:rPr>
          <w:rFonts w:ascii="Tahoma" w:hAnsi="Tahoma" w:cs="Tahoma"/>
          <w:b/>
          <w:bCs/>
          <w:sz w:val="22"/>
          <w:szCs w:val="22"/>
        </w:rPr>
        <w:t>.</w:t>
      </w:r>
      <w:r w:rsidR="007B2DEE" w:rsidRPr="00485A4C">
        <w:rPr>
          <w:rFonts w:ascii="Tahoma" w:hAnsi="Tahoma" w:cs="Tahoma"/>
          <w:b/>
          <w:bCs/>
          <w:sz w:val="22"/>
          <w:szCs w:val="22"/>
        </w:rPr>
        <w:t>7</w:t>
      </w:r>
      <w:r w:rsidR="009A02C8" w:rsidRPr="00485A4C">
        <w:rPr>
          <w:rFonts w:ascii="Tahoma" w:hAnsi="Tahoma" w:cs="Tahoma"/>
          <w:b/>
          <w:bCs/>
          <w:sz w:val="22"/>
          <w:szCs w:val="22"/>
        </w:rPr>
        <w:t xml:space="preserve"> Αποµείωση αξίας περιουσιακών στοιχείων</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Σύμφωνα  με τα Δ.Π.Χ.Α. η ανακτήσιμη αξία ενός περιουσιακού στοιχείου πρέπει να εκτιμάται όποτε υπάρχουν ενδείξεις για απομείωση. Η ζημία της απομείωσης αναγνωρίζεται όταν η λογιστική αξία υπερβαίνει την ανακτήσιμη. Η ανακτήσιμη αξία είναι η μεγαλύτερη μεταξύ της εύλογης αξίας και της παρούσας αξίας των εκτιμόμενων μελλοντικών ταμειακών ροών, οι οποίες αναμένεται να προκύψουν από την συνεχιζόμενη χρησιμοποίησή του μέχρι την απόσυρση του στοιχείου αυτού στη λήξη της ωφέλιμης ζωής του.</w:t>
      </w:r>
    </w:p>
    <w:p w:rsidR="009A02C8" w:rsidRPr="00485A4C" w:rsidRDefault="00F36443"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εταιρεία</w:t>
      </w:r>
      <w:r w:rsidR="009A02C8" w:rsidRPr="00485A4C">
        <w:rPr>
          <w:rFonts w:ascii="Tahoma" w:hAnsi="Tahoma" w:cs="Tahoma"/>
          <w:sz w:val="22"/>
          <w:szCs w:val="22"/>
        </w:rPr>
        <w:t xml:space="preserve"> εξετάζει, σε περιοδική βάση, σύμφωνα με τα οριζόμενα στα Δ.Π.Χ.Α., (ημερομηνία σύνταξης των οικονομικών της καταστάσεων), τα περιουσιακά της </w:t>
      </w:r>
      <w:r w:rsidR="009A02C8" w:rsidRPr="00485A4C">
        <w:rPr>
          <w:rFonts w:ascii="Tahoma" w:hAnsi="Tahoma" w:cs="Tahoma"/>
          <w:sz w:val="22"/>
          <w:szCs w:val="22"/>
        </w:rPr>
        <w:lastRenderedPageBreak/>
        <w:t>στοιχεία για πιθανές ενδείξεις απομείωσης της αξίας τους. Σε αυτές τις περιπτώσεις όπου η λογιστική αξία είναι μεγαλύτερη της ανακτήσιμης απομειώνεται (μέσω αποτελεσμάτων), ώστε να συμπίπτει με την ανακτήσιμη.</w:t>
      </w:r>
    </w:p>
    <w:p w:rsidR="009A02C8" w:rsidRPr="00485A4C" w:rsidRDefault="009A02C8" w:rsidP="009A02C8">
      <w:pPr>
        <w:autoSpaceDE w:val="0"/>
        <w:autoSpaceDN w:val="0"/>
        <w:adjustRightInd w:val="0"/>
        <w:ind w:left="-540"/>
        <w:jc w:val="both"/>
        <w:rPr>
          <w:rFonts w:ascii="Tahoma" w:hAnsi="Tahoma" w:cs="Tahoma"/>
          <w:sz w:val="22"/>
          <w:szCs w:val="22"/>
        </w:rPr>
      </w:pPr>
    </w:p>
    <w:p w:rsidR="009A02C8" w:rsidRPr="00485A4C" w:rsidRDefault="009A02C8" w:rsidP="009A02C8">
      <w:pPr>
        <w:autoSpaceDE w:val="0"/>
        <w:autoSpaceDN w:val="0"/>
        <w:adjustRightInd w:val="0"/>
        <w:ind w:left="-540"/>
        <w:jc w:val="both"/>
        <w:rPr>
          <w:rFonts w:ascii="Tahoma" w:hAnsi="Tahoma" w:cs="Tahoma"/>
          <w:sz w:val="22"/>
          <w:szCs w:val="22"/>
        </w:rPr>
      </w:pPr>
    </w:p>
    <w:p w:rsidR="009A02C8" w:rsidRPr="00485A4C" w:rsidRDefault="00F77896" w:rsidP="009A02C8">
      <w:pPr>
        <w:autoSpaceDE w:val="0"/>
        <w:autoSpaceDN w:val="0"/>
        <w:adjustRightInd w:val="0"/>
        <w:spacing w:line="360" w:lineRule="auto"/>
        <w:ind w:left="-540"/>
        <w:rPr>
          <w:rFonts w:ascii="Tahoma" w:hAnsi="Tahoma" w:cs="Tahoma"/>
          <w:b/>
          <w:bCs/>
          <w:sz w:val="22"/>
          <w:szCs w:val="22"/>
        </w:rPr>
      </w:pPr>
      <w:r w:rsidRPr="00485A4C">
        <w:rPr>
          <w:rFonts w:ascii="Tahoma" w:hAnsi="Tahoma" w:cs="Tahoma"/>
          <w:b/>
          <w:bCs/>
          <w:sz w:val="22"/>
          <w:szCs w:val="22"/>
        </w:rPr>
        <w:t>5</w:t>
      </w:r>
      <w:r w:rsidR="009A02C8" w:rsidRPr="00485A4C">
        <w:rPr>
          <w:rFonts w:ascii="Tahoma" w:hAnsi="Tahoma" w:cs="Tahoma"/>
          <w:b/>
          <w:bCs/>
          <w:sz w:val="22"/>
          <w:szCs w:val="22"/>
        </w:rPr>
        <w:t>.</w:t>
      </w:r>
      <w:r w:rsidR="007B2DEE" w:rsidRPr="00485A4C">
        <w:rPr>
          <w:rFonts w:ascii="Tahoma" w:hAnsi="Tahoma" w:cs="Tahoma"/>
          <w:b/>
          <w:bCs/>
          <w:sz w:val="22"/>
          <w:szCs w:val="22"/>
        </w:rPr>
        <w:t>8</w:t>
      </w:r>
      <w:r w:rsidR="009A02C8" w:rsidRPr="00485A4C">
        <w:rPr>
          <w:rFonts w:ascii="Tahoma" w:hAnsi="Tahoma" w:cs="Tahoma"/>
          <w:b/>
          <w:bCs/>
          <w:sz w:val="22"/>
          <w:szCs w:val="22"/>
        </w:rPr>
        <w:t xml:space="preserve"> Αποθέματα</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Τα αποθέματα αποτιμώνται στη χαμηλότερη αξία μεταξύ της αξίας κτήσης και της ρευστοποιήσιμης αξίας. Ρευστοποιήσιμη αξία είναι η εκτιμώμενη τιμή πώλησης σε κανονική επιχειρηματική διαδικασία, μειωμένη κατά το κόστος ολοκλήρωσης και κατά τα έξοδα διάθεσης.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αξία κτήσης των αποθεμάτων υπολογίζεται με βάση τη μέθοδο τ</w:t>
      </w:r>
      <w:r w:rsidR="00FB73B8" w:rsidRPr="00485A4C">
        <w:rPr>
          <w:rFonts w:ascii="Tahoma" w:hAnsi="Tahoma" w:cs="Tahoma"/>
          <w:sz w:val="22"/>
          <w:szCs w:val="22"/>
        </w:rPr>
        <w:t>ης</w:t>
      </w:r>
      <w:r w:rsidRPr="00485A4C">
        <w:rPr>
          <w:rFonts w:ascii="Tahoma" w:hAnsi="Tahoma" w:cs="Tahoma"/>
          <w:sz w:val="22"/>
          <w:szCs w:val="22"/>
        </w:rPr>
        <w:t xml:space="preserve"> “</w:t>
      </w:r>
      <w:r w:rsidR="00FB73B8" w:rsidRPr="00485A4C">
        <w:rPr>
          <w:rFonts w:ascii="Tahoma" w:hAnsi="Tahoma" w:cs="Tahoma"/>
          <w:sz w:val="22"/>
          <w:szCs w:val="22"/>
          <w:lang w:val="en-US"/>
        </w:rPr>
        <w:t>F</w:t>
      </w:r>
      <w:r w:rsidRPr="00485A4C">
        <w:rPr>
          <w:rFonts w:ascii="Tahoma" w:hAnsi="Tahoma" w:cs="Tahoma"/>
          <w:sz w:val="22"/>
          <w:szCs w:val="22"/>
        </w:rPr>
        <w:t>.</w:t>
      </w:r>
      <w:r w:rsidR="00FB73B8" w:rsidRPr="00485A4C">
        <w:rPr>
          <w:rFonts w:ascii="Tahoma" w:hAnsi="Tahoma" w:cs="Tahoma"/>
          <w:sz w:val="22"/>
          <w:szCs w:val="22"/>
          <w:lang w:val="en-US"/>
        </w:rPr>
        <w:t>I</w:t>
      </w:r>
      <w:r w:rsidR="00FB73B8" w:rsidRPr="00485A4C">
        <w:rPr>
          <w:rFonts w:ascii="Tahoma" w:hAnsi="Tahoma" w:cs="Tahoma"/>
          <w:sz w:val="22"/>
          <w:szCs w:val="22"/>
        </w:rPr>
        <w:t>.</w:t>
      </w:r>
      <w:r w:rsidR="00FB73B8" w:rsidRPr="00485A4C">
        <w:rPr>
          <w:rFonts w:ascii="Tahoma" w:hAnsi="Tahoma" w:cs="Tahoma"/>
          <w:sz w:val="22"/>
          <w:szCs w:val="22"/>
          <w:lang w:val="en-US"/>
        </w:rPr>
        <w:t>F</w:t>
      </w:r>
      <w:r w:rsidR="00FB73B8" w:rsidRPr="00485A4C">
        <w:rPr>
          <w:rFonts w:ascii="Tahoma" w:hAnsi="Tahoma" w:cs="Tahoma"/>
          <w:sz w:val="22"/>
          <w:szCs w:val="22"/>
        </w:rPr>
        <w:t>.</w:t>
      </w:r>
      <w:r w:rsidR="00FB73B8" w:rsidRPr="00485A4C">
        <w:rPr>
          <w:rFonts w:ascii="Tahoma" w:hAnsi="Tahoma" w:cs="Tahoma"/>
          <w:sz w:val="22"/>
          <w:szCs w:val="22"/>
          <w:lang w:val="en-US"/>
        </w:rPr>
        <w:t>O</w:t>
      </w:r>
      <w:r w:rsidR="00FB73B8" w:rsidRPr="00485A4C">
        <w:rPr>
          <w:rFonts w:ascii="Tahoma" w:hAnsi="Tahoma" w:cs="Tahoma"/>
          <w:sz w:val="22"/>
          <w:szCs w:val="22"/>
        </w:rPr>
        <w:t>”.</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p>
    <w:p w:rsidR="009A02C8" w:rsidRPr="00485A4C" w:rsidRDefault="00F77896" w:rsidP="009A02C8">
      <w:pPr>
        <w:autoSpaceDE w:val="0"/>
        <w:autoSpaceDN w:val="0"/>
        <w:adjustRightInd w:val="0"/>
        <w:spacing w:line="360" w:lineRule="auto"/>
        <w:ind w:left="-540"/>
        <w:rPr>
          <w:rFonts w:ascii="Tahoma" w:hAnsi="Tahoma" w:cs="Tahoma"/>
          <w:b/>
          <w:bCs/>
          <w:sz w:val="22"/>
          <w:szCs w:val="22"/>
        </w:rPr>
      </w:pPr>
      <w:r w:rsidRPr="00485A4C">
        <w:rPr>
          <w:rFonts w:ascii="Tahoma" w:hAnsi="Tahoma" w:cs="Tahoma"/>
          <w:b/>
          <w:bCs/>
          <w:sz w:val="22"/>
          <w:szCs w:val="22"/>
        </w:rPr>
        <w:t>5</w:t>
      </w:r>
      <w:r w:rsidR="009A02C8" w:rsidRPr="00485A4C">
        <w:rPr>
          <w:rFonts w:ascii="Tahoma" w:hAnsi="Tahoma" w:cs="Tahoma"/>
          <w:b/>
          <w:bCs/>
          <w:sz w:val="22"/>
          <w:szCs w:val="22"/>
        </w:rPr>
        <w:t>.</w:t>
      </w:r>
      <w:r w:rsidR="007B2DEE" w:rsidRPr="00485A4C">
        <w:rPr>
          <w:rFonts w:ascii="Tahoma" w:hAnsi="Tahoma" w:cs="Tahoma"/>
          <w:b/>
          <w:bCs/>
          <w:sz w:val="22"/>
          <w:szCs w:val="22"/>
        </w:rPr>
        <w:t>9</w:t>
      </w:r>
      <w:r w:rsidR="009A02C8" w:rsidRPr="00485A4C">
        <w:rPr>
          <w:rFonts w:ascii="Tahoma" w:hAnsi="Tahoma" w:cs="Tahoma"/>
          <w:b/>
          <w:bCs/>
          <w:sz w:val="22"/>
          <w:szCs w:val="22"/>
        </w:rPr>
        <w:t xml:space="preserve"> Εμπορικές απαιτήσεις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Οι απαιτήσεις από πελάτες καταχωρούνται αρχικά στην αξία της συναλλαγής και μεταγενέστερα αποτιμώνται στο αναπόσβεστο κόστος με τη μέθοδο του πραγματικού επιτοκίου.</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Οι απαιτήσεις από πελάτες και τρίτους εξετάζονται, ως προς την εισπραξιμότητά τους, σε τακτά χρονικά διαστήματα. Όταν υπάρχει σαφής ένδειξη ότι </w:t>
      </w:r>
      <w:r w:rsidR="00F36443" w:rsidRPr="00485A4C">
        <w:rPr>
          <w:rFonts w:ascii="Tahoma" w:hAnsi="Tahoma" w:cs="Tahoma"/>
          <w:sz w:val="22"/>
          <w:szCs w:val="22"/>
        </w:rPr>
        <w:t>η εταιρεία</w:t>
      </w:r>
      <w:r w:rsidRPr="00485A4C">
        <w:rPr>
          <w:rFonts w:ascii="Tahoma" w:hAnsi="Tahoma" w:cs="Tahoma"/>
          <w:sz w:val="22"/>
          <w:szCs w:val="22"/>
        </w:rPr>
        <w:t xml:space="preserve"> δεν είναι σε θέση να εισπράξει όλα τα ποσά που οφείλονται, με βάση τους συμβατικούς όρους, διενεργείται σχετική εγγραφή απομείωσης. Το ύψος της απομείωσης διαμορφώνεται από την διαφορά που προκύπτει μεταξύ της λογιστικής αξίας των απαιτήσεων και της παρούσας αξίας των εκτιμώμενων μελλοντικών ταμιακών ροών, οι οποίες προεξοφλούνται με το πραγματικό επιτόκιο. Οι ζημιές απομείωσης, που προκύπτουν, καταχωρούνται απ’ ευθείας στα αποτελέσματα χρήσης. </w:t>
      </w:r>
    </w:p>
    <w:p w:rsidR="00AA45D6" w:rsidRPr="00485A4C" w:rsidRDefault="00AA45D6" w:rsidP="009A02C8">
      <w:pPr>
        <w:autoSpaceDE w:val="0"/>
        <w:autoSpaceDN w:val="0"/>
        <w:adjustRightInd w:val="0"/>
        <w:spacing w:line="360" w:lineRule="auto"/>
        <w:ind w:left="-540"/>
        <w:jc w:val="both"/>
        <w:rPr>
          <w:rFonts w:ascii="Tahoma" w:hAnsi="Tahoma" w:cs="Tahoma"/>
          <w:sz w:val="22"/>
          <w:szCs w:val="22"/>
        </w:rPr>
      </w:pPr>
    </w:p>
    <w:p w:rsidR="009A02C8" w:rsidRPr="00485A4C" w:rsidRDefault="00F77896" w:rsidP="009A02C8">
      <w:pPr>
        <w:autoSpaceDE w:val="0"/>
        <w:autoSpaceDN w:val="0"/>
        <w:adjustRightInd w:val="0"/>
        <w:spacing w:line="360" w:lineRule="auto"/>
        <w:ind w:left="-540"/>
        <w:rPr>
          <w:rFonts w:ascii="Tahoma" w:hAnsi="Tahoma" w:cs="Tahoma"/>
          <w:b/>
          <w:bCs/>
          <w:sz w:val="22"/>
          <w:szCs w:val="22"/>
        </w:rPr>
      </w:pPr>
      <w:r w:rsidRPr="00485A4C">
        <w:rPr>
          <w:rFonts w:ascii="Tahoma" w:hAnsi="Tahoma" w:cs="Tahoma"/>
          <w:b/>
          <w:bCs/>
          <w:sz w:val="22"/>
          <w:szCs w:val="22"/>
        </w:rPr>
        <w:t>5</w:t>
      </w:r>
      <w:r w:rsidR="009A02C8" w:rsidRPr="00485A4C">
        <w:rPr>
          <w:rFonts w:ascii="Tahoma" w:hAnsi="Tahoma" w:cs="Tahoma"/>
          <w:b/>
          <w:bCs/>
          <w:sz w:val="22"/>
          <w:szCs w:val="22"/>
        </w:rPr>
        <w:t>.1</w:t>
      </w:r>
      <w:r w:rsidR="007B2DEE" w:rsidRPr="00485A4C">
        <w:rPr>
          <w:rFonts w:ascii="Tahoma" w:hAnsi="Tahoma" w:cs="Tahoma"/>
          <w:b/>
          <w:bCs/>
          <w:sz w:val="22"/>
          <w:szCs w:val="22"/>
        </w:rPr>
        <w:t>0</w:t>
      </w:r>
      <w:r w:rsidR="009A02C8" w:rsidRPr="00485A4C">
        <w:rPr>
          <w:rFonts w:ascii="Tahoma" w:hAnsi="Tahoma" w:cs="Tahoma"/>
          <w:b/>
          <w:bCs/>
          <w:sz w:val="22"/>
          <w:szCs w:val="22"/>
        </w:rPr>
        <w:t xml:space="preserve"> Ταμειακά διαθέσιμα και ισοδύναμα</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Τα ταμειακά διαθέσιμα και ταμειακά ισοδύναμα περιλαμβάνουν τα μετρητά, τις καταθέσεις όψεως και τις βραχυπρόθεσμες επενδύσεις άμεσης ρευστοποίησης (διάρκειας έως 3 μηνών) και μηδενικού κινδύνου.  </w:t>
      </w:r>
    </w:p>
    <w:p w:rsidR="008A6141" w:rsidRPr="00485A4C" w:rsidRDefault="008A6141" w:rsidP="009A02C8">
      <w:pPr>
        <w:autoSpaceDE w:val="0"/>
        <w:autoSpaceDN w:val="0"/>
        <w:adjustRightInd w:val="0"/>
        <w:spacing w:line="360" w:lineRule="auto"/>
        <w:ind w:left="-540"/>
        <w:jc w:val="both"/>
        <w:rPr>
          <w:rFonts w:ascii="Tahoma" w:hAnsi="Tahoma" w:cs="Tahoma"/>
          <w:sz w:val="22"/>
          <w:szCs w:val="22"/>
        </w:rPr>
      </w:pPr>
    </w:p>
    <w:p w:rsidR="009A02C8" w:rsidRPr="00485A4C" w:rsidRDefault="00F77896" w:rsidP="009A02C8">
      <w:pPr>
        <w:autoSpaceDE w:val="0"/>
        <w:autoSpaceDN w:val="0"/>
        <w:adjustRightInd w:val="0"/>
        <w:spacing w:line="360" w:lineRule="auto"/>
        <w:ind w:left="-540"/>
        <w:jc w:val="both"/>
        <w:rPr>
          <w:rFonts w:ascii="Tahoma" w:hAnsi="Tahoma" w:cs="Tahoma"/>
          <w:b/>
          <w:bCs/>
          <w:sz w:val="22"/>
          <w:szCs w:val="22"/>
        </w:rPr>
      </w:pPr>
      <w:r w:rsidRPr="00485A4C">
        <w:rPr>
          <w:rFonts w:ascii="Tahoma" w:hAnsi="Tahoma" w:cs="Tahoma"/>
          <w:b/>
          <w:bCs/>
          <w:sz w:val="22"/>
          <w:szCs w:val="22"/>
        </w:rPr>
        <w:t>5</w:t>
      </w:r>
      <w:r w:rsidR="009A02C8" w:rsidRPr="00485A4C">
        <w:rPr>
          <w:rFonts w:ascii="Tahoma" w:hAnsi="Tahoma" w:cs="Tahoma"/>
          <w:b/>
          <w:bCs/>
          <w:sz w:val="22"/>
          <w:szCs w:val="22"/>
        </w:rPr>
        <w:t>.1</w:t>
      </w:r>
      <w:r w:rsidR="007B2DEE" w:rsidRPr="00485A4C">
        <w:rPr>
          <w:rFonts w:ascii="Tahoma" w:hAnsi="Tahoma" w:cs="Tahoma"/>
          <w:b/>
          <w:bCs/>
          <w:sz w:val="22"/>
          <w:szCs w:val="22"/>
        </w:rPr>
        <w:t>1</w:t>
      </w:r>
      <w:r w:rsidR="009A02C8" w:rsidRPr="00485A4C">
        <w:rPr>
          <w:rFonts w:ascii="Tahoma" w:hAnsi="Tahoma" w:cs="Tahoma"/>
          <w:b/>
          <w:bCs/>
          <w:sz w:val="22"/>
          <w:szCs w:val="22"/>
        </w:rPr>
        <w:t xml:space="preserve"> Μετοχικό κεφάλαιο</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Το μετοχικό κεφάλαιο αποτελείται από κοινές ονομαστικές μετοχές. Η διαφορά μεταξύ της τιμής εκδόσεως και ονομαστικής αξίας</w:t>
      </w:r>
      <w:r w:rsidR="00F36443" w:rsidRPr="00485A4C">
        <w:rPr>
          <w:rFonts w:ascii="Tahoma" w:hAnsi="Tahoma" w:cs="Tahoma"/>
          <w:sz w:val="22"/>
          <w:szCs w:val="22"/>
        </w:rPr>
        <w:t>,</w:t>
      </w:r>
      <w:r w:rsidRPr="00485A4C">
        <w:rPr>
          <w:rFonts w:ascii="Tahoma" w:hAnsi="Tahoma" w:cs="Tahoma"/>
          <w:sz w:val="22"/>
          <w:szCs w:val="22"/>
        </w:rPr>
        <w:t xml:space="preserve"> </w:t>
      </w:r>
      <w:r w:rsidR="00F36443" w:rsidRPr="00485A4C">
        <w:rPr>
          <w:rFonts w:ascii="Tahoma" w:hAnsi="Tahoma" w:cs="Tahoma"/>
          <w:sz w:val="22"/>
          <w:szCs w:val="22"/>
        </w:rPr>
        <w:t xml:space="preserve">εάν υφίσταται, </w:t>
      </w:r>
      <w:r w:rsidRPr="00485A4C">
        <w:rPr>
          <w:rFonts w:ascii="Tahoma" w:hAnsi="Tahoma" w:cs="Tahoma"/>
          <w:sz w:val="22"/>
          <w:szCs w:val="22"/>
        </w:rPr>
        <w:t>καταχωρείται στο «Αποθεματικό Υπέρ το Άρτιο» ενώ τα άμεσα έξοδα για την έκδοση μετοχών, εμφανίζονται μετά την αφαίρεση του σχετικού φόρου εισοδήματος, σε μείωση του προϊόντος της έκδοσης.</w:t>
      </w:r>
    </w:p>
    <w:p w:rsidR="001764E9" w:rsidRPr="00485A4C" w:rsidRDefault="001764E9" w:rsidP="009A02C8">
      <w:pPr>
        <w:autoSpaceDE w:val="0"/>
        <w:autoSpaceDN w:val="0"/>
        <w:adjustRightInd w:val="0"/>
        <w:spacing w:line="360" w:lineRule="auto"/>
        <w:ind w:left="-540"/>
        <w:jc w:val="both"/>
        <w:rPr>
          <w:rFonts w:ascii="Tahoma" w:hAnsi="Tahoma" w:cs="Tahoma"/>
          <w:b/>
          <w:bCs/>
          <w:sz w:val="22"/>
          <w:szCs w:val="22"/>
        </w:rPr>
      </w:pPr>
    </w:p>
    <w:p w:rsidR="009A02C8" w:rsidRPr="00485A4C" w:rsidRDefault="00F77896" w:rsidP="009A02C8">
      <w:pPr>
        <w:autoSpaceDE w:val="0"/>
        <w:autoSpaceDN w:val="0"/>
        <w:adjustRightInd w:val="0"/>
        <w:spacing w:line="360" w:lineRule="auto"/>
        <w:ind w:left="-540"/>
        <w:jc w:val="both"/>
        <w:rPr>
          <w:rFonts w:ascii="Tahoma" w:hAnsi="Tahoma" w:cs="Tahoma"/>
          <w:b/>
          <w:bCs/>
          <w:sz w:val="22"/>
          <w:szCs w:val="22"/>
        </w:rPr>
      </w:pPr>
      <w:r w:rsidRPr="00485A4C">
        <w:rPr>
          <w:rFonts w:ascii="Tahoma" w:hAnsi="Tahoma" w:cs="Tahoma"/>
          <w:b/>
          <w:bCs/>
          <w:sz w:val="22"/>
          <w:szCs w:val="22"/>
        </w:rPr>
        <w:lastRenderedPageBreak/>
        <w:t>5</w:t>
      </w:r>
      <w:r w:rsidR="009A02C8" w:rsidRPr="00485A4C">
        <w:rPr>
          <w:rFonts w:ascii="Tahoma" w:hAnsi="Tahoma" w:cs="Tahoma"/>
          <w:b/>
          <w:bCs/>
          <w:sz w:val="22"/>
          <w:szCs w:val="22"/>
        </w:rPr>
        <w:t>.1</w:t>
      </w:r>
      <w:r w:rsidR="007B2DEE" w:rsidRPr="00485A4C">
        <w:rPr>
          <w:rFonts w:ascii="Tahoma" w:hAnsi="Tahoma" w:cs="Tahoma"/>
          <w:b/>
          <w:bCs/>
          <w:sz w:val="22"/>
          <w:szCs w:val="22"/>
        </w:rPr>
        <w:t>2</w:t>
      </w:r>
      <w:r w:rsidR="009A02C8" w:rsidRPr="00485A4C">
        <w:rPr>
          <w:rFonts w:ascii="Tahoma" w:hAnsi="Tahoma" w:cs="Tahoma"/>
          <w:b/>
          <w:bCs/>
          <w:sz w:val="22"/>
          <w:szCs w:val="22"/>
        </w:rPr>
        <w:t xml:space="preserve"> Δανεισμός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Τα δάνεια, αρχικά, αποτιμώνται στο κόστος, που είναι η εύλογη αξία του δανείου που λαμβάνεται μετά την αφαίρεση των εξόδων έκδοσης που σχετίζονται με το δανεισμό.</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Μετά την αρχική αναγνώριση, αποτιμώνται στο αναπόσβεστο κόστος  με τη μέθοδο του πραγματικού επιτοκίου. Το αναπόσβεστο κόστος υπολογίζεται λαμβάνοντας υπόψη και τα έξοδα έκδοσης. Τυχόν διαφορά μεταξύ των αρχικά καθαρών ποσών που εισπράχθηκαν και της αξίας κατά την λήξη του δανεισμού καταχωρείται στον λογαριασμό αποτελεσμάτων κατά την χρονική διάρκεια του δανεισμού.</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Οι υποχρεώσεις από δάνεια καταχωρούνται στις βραχυπρόθεσμες υποχρεώσεις, εκτός εάν </w:t>
      </w:r>
      <w:r w:rsidR="0063665B" w:rsidRPr="00485A4C">
        <w:rPr>
          <w:rFonts w:ascii="Tahoma" w:hAnsi="Tahoma" w:cs="Tahoma"/>
          <w:sz w:val="22"/>
          <w:szCs w:val="22"/>
        </w:rPr>
        <w:t>η εταιρεία</w:t>
      </w:r>
      <w:r w:rsidRPr="00485A4C">
        <w:rPr>
          <w:rFonts w:ascii="Tahoma" w:hAnsi="Tahoma" w:cs="Tahoma"/>
          <w:sz w:val="22"/>
          <w:szCs w:val="22"/>
        </w:rPr>
        <w:t xml:space="preserve"> έχει το δικαίωμα να αναβάλει την τακτοποίηση της υποχρέωσης για τουλάχιστον 12 μήνες μετά την ημερομηνία του ισολογισμού.</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p>
    <w:p w:rsidR="009A02C8" w:rsidRPr="00485A4C" w:rsidRDefault="00F77896" w:rsidP="009A02C8">
      <w:pPr>
        <w:autoSpaceDE w:val="0"/>
        <w:autoSpaceDN w:val="0"/>
        <w:adjustRightInd w:val="0"/>
        <w:spacing w:line="360" w:lineRule="auto"/>
        <w:ind w:left="-540"/>
        <w:jc w:val="both"/>
        <w:rPr>
          <w:rFonts w:ascii="Tahoma" w:hAnsi="Tahoma" w:cs="Tahoma"/>
          <w:b/>
          <w:bCs/>
          <w:sz w:val="22"/>
          <w:szCs w:val="22"/>
        </w:rPr>
      </w:pPr>
      <w:r w:rsidRPr="00485A4C">
        <w:rPr>
          <w:rFonts w:ascii="Tahoma" w:hAnsi="Tahoma" w:cs="Tahoma"/>
          <w:b/>
          <w:bCs/>
          <w:sz w:val="22"/>
          <w:szCs w:val="22"/>
        </w:rPr>
        <w:t>5</w:t>
      </w:r>
      <w:r w:rsidR="009A02C8" w:rsidRPr="00485A4C">
        <w:rPr>
          <w:rFonts w:ascii="Tahoma" w:hAnsi="Tahoma" w:cs="Tahoma"/>
          <w:b/>
          <w:bCs/>
          <w:sz w:val="22"/>
          <w:szCs w:val="22"/>
        </w:rPr>
        <w:t>.1</w:t>
      </w:r>
      <w:r w:rsidR="007B2DEE" w:rsidRPr="00485A4C">
        <w:rPr>
          <w:rFonts w:ascii="Tahoma" w:hAnsi="Tahoma" w:cs="Tahoma"/>
          <w:b/>
          <w:bCs/>
          <w:sz w:val="22"/>
          <w:szCs w:val="22"/>
        </w:rPr>
        <w:t>3</w:t>
      </w:r>
      <w:r w:rsidR="009A02C8" w:rsidRPr="00485A4C">
        <w:rPr>
          <w:rFonts w:ascii="Tahoma" w:hAnsi="Tahoma" w:cs="Tahoma"/>
          <w:b/>
          <w:bCs/>
          <w:sz w:val="22"/>
          <w:szCs w:val="22"/>
        </w:rPr>
        <w:t xml:space="preserve"> Φόρος εισοδήματος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Η επιβάρυνση των αποτελεσμάτων με φόρο εισοδήματος αντιπροσωπεύει το άθροισμα του  φόρου εισοδήματος της χρήσης, των ενδεχόμενων φορολογικών διαφορών προηγουμένων χρήσεων και των αναβαλλόμενων φόρων, δηλαδή των φόρων ή των φορολογικών ελαφρύνσεων που σχετίζονται με τα οικονομικά οφέλη που προκύπτουν στη χρήση αλλά έχουν ήδη καταλογιστεί ή θα καταλογιστούν από τις φορολογικές αρχές σε διαφορετικές χρήσεις.  </w:t>
      </w:r>
    </w:p>
    <w:p w:rsidR="009A02C8" w:rsidRPr="00485A4C" w:rsidRDefault="009A02C8" w:rsidP="009A02C8">
      <w:pPr>
        <w:autoSpaceDE w:val="0"/>
        <w:autoSpaceDN w:val="0"/>
        <w:adjustRightInd w:val="0"/>
        <w:spacing w:line="360" w:lineRule="auto"/>
        <w:ind w:left="-540"/>
        <w:jc w:val="both"/>
        <w:rPr>
          <w:rFonts w:ascii="Tahoma" w:hAnsi="Tahoma" w:cs="Tahoma"/>
          <w:bCs/>
          <w:sz w:val="22"/>
          <w:szCs w:val="22"/>
          <w:u w:val="single"/>
        </w:rPr>
      </w:pPr>
      <w:r w:rsidRPr="00485A4C">
        <w:rPr>
          <w:rFonts w:ascii="Tahoma" w:hAnsi="Tahoma" w:cs="Tahoma"/>
          <w:bCs/>
          <w:sz w:val="22"/>
          <w:szCs w:val="22"/>
          <w:u w:val="single"/>
        </w:rPr>
        <w:t>Αναβαλλόμενος φόρος εισοδήματος: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 αναβαλλόμενος φόρος εισοδήματος προσδιορίζεται με την μέθοδο της υποχρέωσης που προκύπτει από τις προσωρινές διαφορές μεταξύ της λογιστικής αξίας και της φορολογικής βάσης των περιουσιακών στοιχείων και των υποχρεώσεων. Ο αναβαλλόμενος φόρος αποτιμάται με βάση τους φορολογικούς συντελεστές που αναμένεται να ισχύουν στην χρήση κατά την οποία θα διακανονιστεί η απαίτηση ή η υποχρέωση, λαμβάνοντας υπόψη τους φορολογικούς συντελεστές (και φορολογικούς νόμους) που έχουν τεθεί σε ισχύ ή ουσιαστικά ισχύουν μέχρι την ημερομηνία του ισολογισμού. Σε περίπτωση αδυναμίας σαφούς προσδιορισμού του χρόνου αναστροφής των προσωρινών διαφορών, εφαρμόζεται ο φορολογικός συντελεστής που ισχύει κατά την επόμενη, της ημερομηνίας του ισολογισμού, χρήση.</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Μια αναβαλλόμενη φορολογική απαίτηση αναγνωρίζεται μόνο κατά το βαθμό που είναι πιθανό ότι θα υπάρχουν μελλοντικά φορολογικά διαθέσιμα κέρδη έναντι των οποίων η απαίτηση μπορεί να συμψηφιστεί. Οι αναβαλλόμενες φορολογικές απαιτήσεις μειώνονται κατά το βαθμό που δεν είναι πλέον πιθανόν ότι το σχετικό φορολογικό όφελος θα πραγματοποιηθεί.</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lastRenderedPageBreak/>
        <w:t xml:space="preserve">Ο αναβαλλόμενος φόρος καταχωρείται στην κατάσταση αποτελεσμάτων, αν οι συναλλαγές και τα οικονομικά γεγονότα που αφορούν αυτή τη φορολογική επίδραση καταχωρούνται επίσης στην κατάσταση αποτελεσμάτων. Ο αναβαλλόμενος φόρος καταχωρείται απευθείας στην καθαρή θέση, αν οι συναλλαγές και τα οικονομικά γεγονότα που αφορούν αυτήν τη φορολογική επίδραση καταχωρούνται επίσης στην καθαρή θέση. </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Οι φορολογικές απαιτήσεις και υποχρεώσεις (τρέχουσες και αναβαλλόμενες) συμψηφίζονται όταν υπάρχει εφαρμόσιμο νομικό δικαίωμα και οι φόροι εισοδήματος αφορούν στην ίδια φορολογική αρχή.</w:t>
      </w:r>
    </w:p>
    <w:p w:rsidR="00A60A4D" w:rsidRPr="00485A4C" w:rsidRDefault="00A60A4D" w:rsidP="009A02C8">
      <w:pPr>
        <w:autoSpaceDE w:val="0"/>
        <w:autoSpaceDN w:val="0"/>
        <w:adjustRightInd w:val="0"/>
        <w:spacing w:line="360" w:lineRule="auto"/>
        <w:ind w:left="-540"/>
        <w:jc w:val="both"/>
        <w:rPr>
          <w:rFonts w:ascii="Tahoma" w:hAnsi="Tahoma" w:cs="Tahoma"/>
          <w:sz w:val="22"/>
          <w:szCs w:val="22"/>
        </w:rPr>
      </w:pPr>
    </w:p>
    <w:p w:rsidR="00A60A4D" w:rsidRPr="00485A4C" w:rsidRDefault="00A60A4D" w:rsidP="00A60A4D">
      <w:pPr>
        <w:autoSpaceDE w:val="0"/>
        <w:autoSpaceDN w:val="0"/>
        <w:adjustRightInd w:val="0"/>
        <w:spacing w:line="360" w:lineRule="auto"/>
        <w:ind w:left="-539"/>
        <w:rPr>
          <w:rFonts w:ascii="Tahoma" w:hAnsi="Tahoma" w:cs="Tahoma"/>
          <w:b/>
          <w:bCs/>
          <w:sz w:val="22"/>
          <w:szCs w:val="22"/>
        </w:rPr>
      </w:pPr>
      <w:bookmarkStart w:id="18" w:name="_Toc453162218"/>
      <w:r w:rsidRPr="00485A4C">
        <w:rPr>
          <w:rFonts w:ascii="Tahoma" w:hAnsi="Tahoma" w:cs="Tahoma"/>
          <w:b/>
          <w:bCs/>
          <w:sz w:val="22"/>
          <w:szCs w:val="22"/>
        </w:rPr>
        <w:t>5.1</w:t>
      </w:r>
      <w:r w:rsidR="007B2DEE" w:rsidRPr="00485A4C">
        <w:rPr>
          <w:rFonts w:ascii="Tahoma" w:hAnsi="Tahoma" w:cs="Tahoma"/>
          <w:b/>
          <w:bCs/>
          <w:sz w:val="22"/>
          <w:szCs w:val="22"/>
        </w:rPr>
        <w:t>4</w:t>
      </w:r>
      <w:r w:rsidRPr="00485A4C">
        <w:rPr>
          <w:rFonts w:ascii="Tahoma" w:hAnsi="Tahoma" w:cs="Tahoma"/>
          <w:b/>
          <w:bCs/>
          <w:sz w:val="22"/>
          <w:szCs w:val="22"/>
        </w:rPr>
        <w:t>. Προμηθευτές και λοιπές υποχρεώσεις</w:t>
      </w:r>
      <w:bookmarkEnd w:id="18"/>
    </w:p>
    <w:p w:rsidR="00A60A4D" w:rsidRPr="00485A4C" w:rsidRDefault="00A60A4D" w:rsidP="00A60A4D">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Οι υποχρεώσεις αρχικά αναγνωρίζονται στην εύλογη αξία τους και μεταγενέστερα επιμετρούνται με την μέθοδο του πραγματικού επιτοκίου.</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p>
    <w:p w:rsidR="009A02C8" w:rsidRPr="00485A4C" w:rsidRDefault="00F77896" w:rsidP="0063665B">
      <w:pPr>
        <w:autoSpaceDE w:val="0"/>
        <w:autoSpaceDN w:val="0"/>
        <w:adjustRightInd w:val="0"/>
        <w:spacing w:line="360" w:lineRule="auto"/>
        <w:ind w:left="-539"/>
        <w:rPr>
          <w:rFonts w:ascii="Tahoma" w:hAnsi="Tahoma" w:cs="Tahoma"/>
          <w:b/>
          <w:bCs/>
          <w:sz w:val="22"/>
          <w:szCs w:val="22"/>
        </w:rPr>
      </w:pPr>
      <w:r w:rsidRPr="00485A4C">
        <w:rPr>
          <w:rFonts w:ascii="Tahoma" w:hAnsi="Tahoma" w:cs="Tahoma"/>
          <w:b/>
          <w:bCs/>
          <w:sz w:val="22"/>
          <w:szCs w:val="22"/>
        </w:rPr>
        <w:t>5</w:t>
      </w:r>
      <w:r w:rsidR="009A02C8" w:rsidRPr="00485A4C">
        <w:rPr>
          <w:rFonts w:ascii="Tahoma" w:hAnsi="Tahoma" w:cs="Tahoma"/>
          <w:b/>
          <w:bCs/>
          <w:sz w:val="22"/>
          <w:szCs w:val="22"/>
        </w:rPr>
        <w:t>.1</w:t>
      </w:r>
      <w:r w:rsidR="007B2DEE" w:rsidRPr="00485A4C">
        <w:rPr>
          <w:rFonts w:ascii="Tahoma" w:hAnsi="Tahoma" w:cs="Tahoma"/>
          <w:b/>
          <w:bCs/>
          <w:sz w:val="22"/>
          <w:szCs w:val="22"/>
        </w:rPr>
        <w:t>5</w:t>
      </w:r>
      <w:r w:rsidR="009A02C8" w:rsidRPr="00485A4C">
        <w:rPr>
          <w:rFonts w:ascii="Tahoma" w:hAnsi="Tahoma" w:cs="Tahoma"/>
          <w:b/>
          <w:bCs/>
          <w:sz w:val="22"/>
          <w:szCs w:val="22"/>
        </w:rPr>
        <w:t xml:space="preserve"> Υποχρεώσεις καθορισμένων παροχών στους εργαζομένους</w:t>
      </w:r>
      <w:r w:rsidR="0063665B" w:rsidRPr="00485A4C">
        <w:rPr>
          <w:rFonts w:ascii="Tahoma" w:hAnsi="Tahoma" w:cs="Tahoma"/>
          <w:b/>
          <w:bCs/>
          <w:sz w:val="22"/>
          <w:szCs w:val="22"/>
        </w:rPr>
        <w:t xml:space="preserve"> </w:t>
      </w:r>
    </w:p>
    <w:p w:rsidR="009A02C8" w:rsidRPr="00485A4C" w:rsidRDefault="009A02C8" w:rsidP="0063665B">
      <w:pPr>
        <w:autoSpaceDE w:val="0"/>
        <w:autoSpaceDN w:val="0"/>
        <w:adjustRightInd w:val="0"/>
        <w:spacing w:line="360" w:lineRule="auto"/>
        <w:ind w:left="-539"/>
        <w:jc w:val="both"/>
        <w:rPr>
          <w:rFonts w:ascii="Tahoma" w:hAnsi="Tahoma" w:cs="Tahoma"/>
          <w:sz w:val="22"/>
          <w:szCs w:val="22"/>
        </w:rPr>
      </w:pPr>
      <w:r w:rsidRPr="00485A4C">
        <w:rPr>
          <w:rFonts w:ascii="Tahoma" w:hAnsi="Tahoma" w:cs="Tahoma"/>
          <w:sz w:val="22"/>
          <w:szCs w:val="22"/>
        </w:rPr>
        <w:t>Οι παροχές προς τους εργαζομένους (εκτός από παροχές λήξης της εργασιακής σχέσης) σε χρήμα και σε είδος καταχωρούνται, ως έξοδο, όταν καθίστανται δεδουλευμένες. Τυχόν ανεξόφλητο ποσό καταχωρείται ως υποχρέωση, ενώ σε περίπτωση που το ποσό που ήδη καταβλήθηκε υπερβαίνει το ποσό των παροχών, η επιχείρηση καταχωρεί το υπερβάλλον ποσό ως στοιχείο του ενεργητικού της (προπληρωθέν έξοδο), μόνο κατά την έκταση που η προπληρωμή θα οδηγήσει σε μείωση μελλοντικών πληρωμών ή σε επιστροφή.</w:t>
      </w:r>
    </w:p>
    <w:p w:rsidR="009A02C8" w:rsidRPr="00485A4C" w:rsidRDefault="009A02C8" w:rsidP="009A02C8">
      <w:pPr>
        <w:jc w:val="both"/>
        <w:rPr>
          <w:rFonts w:ascii="Tahoma" w:hAnsi="Tahoma" w:cs="Tahoma"/>
          <w:sz w:val="22"/>
          <w:szCs w:val="22"/>
        </w:rPr>
      </w:pP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b/>
          <w:sz w:val="22"/>
          <w:szCs w:val="22"/>
        </w:rPr>
        <w:t xml:space="preserve">Παροχές μετά την έξοδο από την υπηρεσία: </w:t>
      </w:r>
      <w:r w:rsidRPr="00485A4C">
        <w:rPr>
          <w:rFonts w:ascii="Tahoma" w:hAnsi="Tahoma" w:cs="Tahoma"/>
          <w:sz w:val="22"/>
          <w:szCs w:val="22"/>
        </w:rPr>
        <w:t>Οι παροχές μετά την έξοδο από την υπηρεσία περιλαμβάνουν τόσο πρόγραμμα καθορισμένων εισφορών, όσο και πρόγραμμα καθορισμένων παροχών.</w:t>
      </w:r>
    </w:p>
    <w:p w:rsidR="009A02C8" w:rsidRPr="00485A4C" w:rsidRDefault="009A02C8" w:rsidP="009A02C8">
      <w:pPr>
        <w:jc w:val="both"/>
        <w:rPr>
          <w:rFonts w:ascii="Tahoma" w:hAnsi="Tahoma" w:cs="Tahoma"/>
          <w:sz w:val="22"/>
          <w:szCs w:val="22"/>
        </w:rPr>
      </w:pPr>
    </w:p>
    <w:p w:rsidR="009A02C8" w:rsidRPr="00485A4C" w:rsidRDefault="009A02C8" w:rsidP="009A02C8">
      <w:pPr>
        <w:numPr>
          <w:ilvl w:val="0"/>
          <w:numId w:val="9"/>
        </w:numPr>
        <w:jc w:val="both"/>
        <w:rPr>
          <w:rFonts w:ascii="Tahoma" w:hAnsi="Tahoma" w:cs="Tahoma"/>
          <w:b/>
          <w:sz w:val="22"/>
          <w:szCs w:val="22"/>
        </w:rPr>
      </w:pPr>
      <w:r w:rsidRPr="00485A4C">
        <w:rPr>
          <w:rFonts w:ascii="Tahoma" w:hAnsi="Tahoma" w:cs="Tahoma"/>
          <w:b/>
          <w:sz w:val="22"/>
          <w:szCs w:val="22"/>
        </w:rPr>
        <w:t>Πρόγραμμα καθορισμένων εισφορών</w:t>
      </w:r>
    </w:p>
    <w:p w:rsidR="009A02C8" w:rsidRPr="00485A4C" w:rsidRDefault="009A02C8" w:rsidP="009A02C8">
      <w:pPr>
        <w:jc w:val="both"/>
        <w:rPr>
          <w:rFonts w:ascii="Tahoma" w:hAnsi="Tahoma" w:cs="Tahoma"/>
          <w:sz w:val="22"/>
          <w:szCs w:val="22"/>
        </w:rPr>
      </w:pP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Με βάση το πρόγραμμα καθορισμένων εισφορών, η υποχρέωση της επιχείρησης (νομική) περιορίζεται στο ποσό που έχει συμφωνηθεί να συνεισφέρει στον φορέα (ασφαλιστικό ταμείο) που διαχειρίζεται τις εισφορές και χορηγεί τις παροχές (συντάξεις, ιατροφαρμακευτική περίθαλψη, κτλ). </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Το δεδουλευμένο κόστος των προγραμμάτων καθορισμένων εισφορών καταχωρείται ως έξοδο στην χρήση που αφορά. </w:t>
      </w:r>
    </w:p>
    <w:p w:rsidR="009A02C8" w:rsidRPr="00485A4C" w:rsidRDefault="009A02C8" w:rsidP="009A02C8">
      <w:pPr>
        <w:jc w:val="both"/>
        <w:rPr>
          <w:rFonts w:ascii="Tahoma" w:hAnsi="Tahoma" w:cs="Tahoma"/>
          <w:sz w:val="22"/>
          <w:szCs w:val="22"/>
        </w:rPr>
      </w:pPr>
    </w:p>
    <w:p w:rsidR="009A02C8" w:rsidRPr="00485A4C" w:rsidRDefault="009A02C8" w:rsidP="009A02C8">
      <w:pPr>
        <w:numPr>
          <w:ilvl w:val="0"/>
          <w:numId w:val="9"/>
        </w:numPr>
        <w:jc w:val="both"/>
        <w:rPr>
          <w:rFonts w:ascii="Tahoma" w:hAnsi="Tahoma" w:cs="Tahoma"/>
          <w:b/>
          <w:sz w:val="22"/>
          <w:szCs w:val="22"/>
        </w:rPr>
      </w:pPr>
      <w:r w:rsidRPr="00485A4C">
        <w:rPr>
          <w:rFonts w:ascii="Tahoma" w:hAnsi="Tahoma" w:cs="Tahoma"/>
          <w:b/>
          <w:sz w:val="22"/>
          <w:szCs w:val="22"/>
        </w:rPr>
        <w:t>Πρόγραμμα καθορισμένων παροχών</w:t>
      </w:r>
    </w:p>
    <w:p w:rsidR="009A02C8" w:rsidRPr="00485A4C" w:rsidRDefault="009A02C8" w:rsidP="009A02C8">
      <w:pPr>
        <w:jc w:val="both"/>
        <w:rPr>
          <w:rFonts w:ascii="Tahoma" w:hAnsi="Tahoma" w:cs="Tahoma"/>
          <w:sz w:val="22"/>
          <w:szCs w:val="22"/>
        </w:rPr>
      </w:pP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lastRenderedPageBreak/>
        <w:t>Σύμφωνα με το Ελληνικό εργατικό δίκαιο, οι εργαζόμενοι δικαιούνται αποζημίωσης στην περίπτωση εξόδου από την υπηρεσία, το ύψος της οποίας εξαρτάται από το ύψος των αποδοχών τους, την προϋπηρεσία τους στην Εταιρία και το λόγο εξόδου τους από την υπηρεσία (απόλυση ή συνταξιοδότηση). Στην περίπτωση παραίτησης ή δικαιολογημένης απόλυσης το δικαίωμα αυτό δεν υφίσταται. Το πληρωτέο ποσό κατά τη συνταξιοδότηση ανέρχεται στο 40% του ποσού που καταβάλλεται σε περίπτωση αναιτιολόγητης απολύσεως. Το πρόγραμμα αυτό αποτελεί ένα πρόγραμμα καθορισμένων παροχών για τον εργοδότη και δεν είναι χρηματοδοτούμενο.</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Η εν λόγω υποχρέωση προσδιορίζεται, από ανεξάρτητο αναλογιστή, με βάση την αναλογιστική μέθοδο </w:t>
      </w:r>
      <w:r w:rsidR="00841CDB" w:rsidRPr="00485A4C">
        <w:rPr>
          <w:rFonts w:ascii="Tahoma" w:hAnsi="Tahoma" w:cs="Tahoma"/>
          <w:sz w:val="22"/>
          <w:szCs w:val="22"/>
        </w:rPr>
        <w:t>της προβεβλημένης πιστωτικής μονάδας</w:t>
      </w:r>
      <w:r w:rsidRPr="00485A4C">
        <w:rPr>
          <w:rFonts w:ascii="Tahoma" w:hAnsi="Tahoma" w:cs="Tahoma"/>
          <w:sz w:val="22"/>
          <w:szCs w:val="22"/>
        </w:rPr>
        <w:t xml:space="preserve"> (projected unit credit method). Ένα πρόγραμμα συγκεκριμένων παροχών καθορίζει με βάση διάφορες παραμέτρους όπως, η ηλικία, τα έτη προϋπηρεσίας, ο μισθός, συγκεκριμένες υποχρεώσεις για καταβλητέες παροχές. </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Οι προβλέψεις που αφορούν την χρήση, περιλαμβάνονται στο σχετικό κόστος προσωπικού στην κατάσταση αποτελεσμάτων και συνίστανται από το τρέχον κόστος υπηρεσίας, το σχετικό χρηματοοικονομικό κόστος, τα αναλογιστικά κέρδη ή ζημιές που αναγνωρίζονται και τις όποιες πιθανές πρόσθετες επιβαρύνσεις.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Κόστη που προκύπτουν από μεμονωμένα γεγονότα, όπως διακανονισμούς και περικοπές, αναγνωρίζονται άμεσα στα αποτελέσματα. </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Το κόστος υπηρεσίας προηγούμενων ετών αναγνωρίζεται ως έξοδο στη διάρκεια της μέσης περιόδου κατά την οποία κατοχυρώνεται το δικαίωμα στην παροχή, χρησιμοποιώντας τη σταθερή μέθοδο. Εάν μεταβληθούν οι όροι που διέπουν την παροχή και η τελευταία είναι ήδη κατοχυρωμένη, τότε το κόστος υπηρεσίας προηγουμένων ετών αναγνωρίζεται απευθείας στα αποτελέσματα.</w:t>
      </w:r>
    </w:p>
    <w:p w:rsidR="009A02C8" w:rsidRPr="00485A4C" w:rsidRDefault="009A02C8" w:rsidP="009A02C8">
      <w:pPr>
        <w:autoSpaceDE w:val="0"/>
        <w:autoSpaceDN w:val="0"/>
        <w:adjustRightInd w:val="0"/>
        <w:spacing w:line="360" w:lineRule="auto"/>
        <w:ind w:left="-540"/>
        <w:jc w:val="both"/>
        <w:rPr>
          <w:rFonts w:ascii="Tahoma" w:hAnsi="Tahoma" w:cs="Tahoma"/>
          <w:b/>
          <w:bCs/>
          <w:sz w:val="22"/>
          <w:szCs w:val="22"/>
        </w:rPr>
      </w:pPr>
    </w:p>
    <w:p w:rsidR="009A02C8" w:rsidRPr="00485A4C" w:rsidRDefault="00F77896" w:rsidP="009A02C8">
      <w:pPr>
        <w:autoSpaceDE w:val="0"/>
        <w:autoSpaceDN w:val="0"/>
        <w:adjustRightInd w:val="0"/>
        <w:spacing w:line="360" w:lineRule="auto"/>
        <w:ind w:left="-540"/>
        <w:jc w:val="both"/>
        <w:rPr>
          <w:rFonts w:ascii="Tahoma" w:hAnsi="Tahoma" w:cs="Tahoma"/>
          <w:b/>
          <w:bCs/>
          <w:sz w:val="22"/>
          <w:szCs w:val="22"/>
        </w:rPr>
      </w:pPr>
      <w:r w:rsidRPr="00485A4C">
        <w:rPr>
          <w:rFonts w:ascii="Tahoma" w:hAnsi="Tahoma" w:cs="Tahoma"/>
          <w:b/>
          <w:bCs/>
          <w:sz w:val="22"/>
          <w:szCs w:val="22"/>
        </w:rPr>
        <w:t>5</w:t>
      </w:r>
      <w:r w:rsidR="009A02C8" w:rsidRPr="00485A4C">
        <w:rPr>
          <w:rFonts w:ascii="Tahoma" w:hAnsi="Tahoma" w:cs="Tahoma"/>
          <w:b/>
          <w:bCs/>
          <w:sz w:val="22"/>
          <w:szCs w:val="22"/>
        </w:rPr>
        <w:t>.1</w:t>
      </w:r>
      <w:r w:rsidR="007B2DEE" w:rsidRPr="00485A4C">
        <w:rPr>
          <w:rFonts w:ascii="Tahoma" w:hAnsi="Tahoma" w:cs="Tahoma"/>
          <w:b/>
          <w:bCs/>
          <w:sz w:val="22"/>
          <w:szCs w:val="22"/>
        </w:rPr>
        <w:t>6</w:t>
      </w:r>
      <w:r w:rsidR="009A02C8" w:rsidRPr="00485A4C">
        <w:rPr>
          <w:rFonts w:ascii="Tahoma" w:hAnsi="Tahoma" w:cs="Tahoma"/>
          <w:b/>
          <w:bCs/>
          <w:sz w:val="22"/>
          <w:szCs w:val="22"/>
        </w:rPr>
        <w:t xml:space="preserve"> Προβλέψεις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Οι προβλέψεις που αφορούν ενδεχόμενες υποχρεώσεις αναγνωρίζονται όταν </w:t>
      </w:r>
      <w:r w:rsidR="0063665B" w:rsidRPr="00485A4C">
        <w:rPr>
          <w:rFonts w:ascii="Tahoma" w:hAnsi="Tahoma" w:cs="Tahoma"/>
          <w:sz w:val="22"/>
          <w:szCs w:val="22"/>
        </w:rPr>
        <w:t>η εταιρεία</w:t>
      </w:r>
      <w:r w:rsidRPr="00485A4C">
        <w:rPr>
          <w:rFonts w:ascii="Tahoma" w:hAnsi="Tahoma" w:cs="Tahoma"/>
          <w:sz w:val="22"/>
          <w:szCs w:val="22"/>
        </w:rPr>
        <w:t xml:space="preserve"> έχει μία παρούσα νομική ή με άλλο τρόπο τεκμηριωμένη δέσμευση ως αποτέλεσμα γεγονότων του παρελθόντος, όταν είναι πιθανόν ότι θα απαιτηθεί εκροή πόρων για τον διακανονισμό της δέσμευσης και όταν η αξία της μπορεί να εκτιμηθεί αξιόπιστα.</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Στις περιπτώσεις όπου υπάρχει ένας αριθμός παρόμοιων δεσμεύσεων, η πιθανότητα ότι θα απαιτηθεί εκροή πόρων για τον διακανονισμό της δέσμευσης καθορίζεται λαμβάνοντας υπόψη το σύνολο των δεσμεύσεων. </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lastRenderedPageBreak/>
        <w:t>Μία πρόβλεψη αναγνωρίζεται ακόμα και εάν η πιθανότητα εκροής πόρων σχετικά με κάποια από τις δεσμεύσεις που περιλαμβάνεται στην αντίστοιχη κατηγορία δεσμεύσεων είναι μικρή.</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Σε εκείνες τις περιπτώσεις όπου η εταιρεία, ως μισθωτής, είναι βάσει συμβολαίου υποχρεωμένος να επαναφέρει το μισθωμένο ακίνητο σε μια συμφωνηθείσα κατάσταση, πριν από την παράδοση στον εκμισθωτή, πραγματοποιείται, αν υφίστανται οι προϋποθέσεις, μια πρόβλεψη για το κόστος αυτό.</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Οι προβλέψεις αποτιμώνται, κατά την ημερομηνία του ισολογισμού, στην παρούσα αξία των εξόδων που σύμφωνα με την καλύτερη δυνατή εκτίμηση της Διοίκησης θα απαιτηθούν για τον διακανονισμό της παρούσας δέσμευσης. Το προεξοφλητικό επιτόκιο που χρησιμοποιείται στον προσδιορισμό της παρούσας αξίας αντικατοπτρίζει τις τρέχουσες εκτιμήσεις της αγοράς για την χρονική αξία του χρήματος και τους κινδύνους σχετικά με τη συγκεκριμένη δέσμευση.</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Οι ενδεχόμενες υποχρεώσεις για τις οποίες δεν είναι πιθανή η εκροή πόρων γνωστοποιούνται, εκτός εάν δεν είναι σημαντικές. Οι ενδεχόμενες απαιτήσεις δεν αναγνωρίζονται στις οικονομικές καταστάσεις, αλλά γνωστοποιούνται εφόσον η εισροή οικονομικών ωφελειών είναι πιθανή.</w:t>
      </w:r>
    </w:p>
    <w:p w:rsidR="009A02C8" w:rsidRPr="00485A4C" w:rsidRDefault="009A02C8" w:rsidP="009A02C8">
      <w:pPr>
        <w:autoSpaceDE w:val="0"/>
        <w:autoSpaceDN w:val="0"/>
        <w:adjustRightInd w:val="0"/>
        <w:spacing w:line="360" w:lineRule="auto"/>
        <w:ind w:left="-540"/>
        <w:jc w:val="both"/>
        <w:rPr>
          <w:rFonts w:ascii="Tahoma" w:hAnsi="Tahoma" w:cs="Tahoma"/>
          <w:b/>
          <w:bCs/>
          <w:sz w:val="22"/>
          <w:szCs w:val="22"/>
        </w:rPr>
      </w:pPr>
    </w:p>
    <w:p w:rsidR="009A02C8" w:rsidRPr="00485A4C" w:rsidRDefault="00F77896" w:rsidP="009A02C8">
      <w:pPr>
        <w:autoSpaceDE w:val="0"/>
        <w:autoSpaceDN w:val="0"/>
        <w:adjustRightInd w:val="0"/>
        <w:spacing w:line="360" w:lineRule="auto"/>
        <w:ind w:left="-540"/>
        <w:jc w:val="both"/>
        <w:rPr>
          <w:rFonts w:ascii="Tahoma" w:hAnsi="Tahoma" w:cs="Tahoma"/>
          <w:b/>
          <w:bCs/>
          <w:sz w:val="22"/>
          <w:szCs w:val="22"/>
        </w:rPr>
      </w:pPr>
      <w:r w:rsidRPr="00485A4C">
        <w:rPr>
          <w:rFonts w:ascii="Tahoma" w:hAnsi="Tahoma" w:cs="Tahoma"/>
          <w:b/>
          <w:bCs/>
          <w:sz w:val="22"/>
          <w:szCs w:val="22"/>
        </w:rPr>
        <w:t>5</w:t>
      </w:r>
      <w:r w:rsidR="009A02C8" w:rsidRPr="00485A4C">
        <w:rPr>
          <w:rFonts w:ascii="Tahoma" w:hAnsi="Tahoma" w:cs="Tahoma"/>
          <w:b/>
          <w:bCs/>
          <w:sz w:val="22"/>
          <w:szCs w:val="22"/>
        </w:rPr>
        <w:t>.1</w:t>
      </w:r>
      <w:r w:rsidR="007B2DEE" w:rsidRPr="00485A4C">
        <w:rPr>
          <w:rFonts w:ascii="Tahoma" w:hAnsi="Tahoma" w:cs="Tahoma"/>
          <w:b/>
          <w:bCs/>
          <w:sz w:val="22"/>
          <w:szCs w:val="22"/>
        </w:rPr>
        <w:t>7</w:t>
      </w:r>
      <w:r w:rsidR="009A02C8" w:rsidRPr="00485A4C">
        <w:rPr>
          <w:rFonts w:ascii="Tahoma" w:hAnsi="Tahoma" w:cs="Tahoma"/>
          <w:b/>
          <w:bCs/>
          <w:sz w:val="22"/>
          <w:szCs w:val="22"/>
        </w:rPr>
        <w:t xml:space="preserve"> Επιχορηγήσεις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Η επιχορήγηση καταχωρείται όταν υπάρχει εύλογη διασφάλιση ότι θα εισπραχθεί και </w:t>
      </w:r>
      <w:r w:rsidR="0063665B" w:rsidRPr="00485A4C">
        <w:rPr>
          <w:rFonts w:ascii="Tahoma" w:hAnsi="Tahoma" w:cs="Tahoma"/>
          <w:sz w:val="22"/>
          <w:szCs w:val="22"/>
        </w:rPr>
        <w:t>ότι η εταιρεία</w:t>
      </w:r>
      <w:r w:rsidRPr="00485A4C">
        <w:rPr>
          <w:rFonts w:ascii="Tahoma" w:hAnsi="Tahoma" w:cs="Tahoma"/>
          <w:sz w:val="22"/>
          <w:szCs w:val="22"/>
        </w:rPr>
        <w:t xml:space="preserve"> θα συμμορφωθεί με τους όρους που συνδέονται με την επιχορήγηση.  Οι επιχορηγήσεις που αποζημιώνουν </w:t>
      </w:r>
      <w:r w:rsidR="0063665B" w:rsidRPr="00485A4C">
        <w:rPr>
          <w:rFonts w:ascii="Tahoma" w:hAnsi="Tahoma" w:cs="Tahoma"/>
          <w:sz w:val="22"/>
          <w:szCs w:val="22"/>
        </w:rPr>
        <w:t>την εταιρέια</w:t>
      </w:r>
      <w:r w:rsidRPr="00485A4C">
        <w:rPr>
          <w:rFonts w:ascii="Tahoma" w:hAnsi="Tahoma" w:cs="Tahoma"/>
          <w:sz w:val="22"/>
          <w:szCs w:val="22"/>
        </w:rPr>
        <w:t xml:space="preserve"> για πραγματοποιηθείσες δαπάνες καταχωρούνται, ως έσοδο, με συστηματική βάση στην ίδια περίοδο που πραγματοποιήθηκαν οι δαπάνες επιχορήγησης.  Οι δε επιχορηγήσεις, που λαμβάνονται για το κόστος </w:t>
      </w:r>
      <w:r w:rsidR="0063665B" w:rsidRPr="00485A4C">
        <w:rPr>
          <w:rFonts w:ascii="Tahoma" w:hAnsi="Tahoma" w:cs="Tahoma"/>
          <w:sz w:val="22"/>
          <w:szCs w:val="22"/>
        </w:rPr>
        <w:t xml:space="preserve">απόκτησης </w:t>
      </w:r>
      <w:r w:rsidRPr="00485A4C">
        <w:rPr>
          <w:rFonts w:ascii="Tahoma" w:hAnsi="Tahoma" w:cs="Tahoma"/>
          <w:sz w:val="22"/>
          <w:szCs w:val="22"/>
        </w:rPr>
        <w:t>περιουσιακού στοιχείου, κατανέμονται στους λογαριασμούς αποτελεσμάτων, ως έσοδο, με συστηματική βάση σε όλη τη διάρκεια της ωφέλιμης ζωής του περιουσιακού στοιχείου.</w:t>
      </w:r>
    </w:p>
    <w:p w:rsidR="009A02C8" w:rsidRPr="00485A4C" w:rsidRDefault="009A02C8" w:rsidP="009A02C8">
      <w:pPr>
        <w:autoSpaceDE w:val="0"/>
        <w:autoSpaceDN w:val="0"/>
        <w:adjustRightInd w:val="0"/>
        <w:ind w:left="-540"/>
        <w:jc w:val="both"/>
        <w:rPr>
          <w:rFonts w:ascii="Tahoma" w:hAnsi="Tahoma" w:cs="Tahoma"/>
          <w:sz w:val="22"/>
          <w:szCs w:val="22"/>
        </w:rPr>
      </w:pPr>
    </w:p>
    <w:p w:rsidR="009A02C8" w:rsidRPr="00485A4C" w:rsidRDefault="00F77896" w:rsidP="009A02C8">
      <w:pPr>
        <w:autoSpaceDE w:val="0"/>
        <w:autoSpaceDN w:val="0"/>
        <w:adjustRightInd w:val="0"/>
        <w:spacing w:line="360" w:lineRule="auto"/>
        <w:ind w:left="-540"/>
        <w:jc w:val="both"/>
        <w:rPr>
          <w:rFonts w:ascii="Tahoma" w:hAnsi="Tahoma" w:cs="Tahoma"/>
          <w:b/>
          <w:bCs/>
          <w:sz w:val="22"/>
          <w:szCs w:val="22"/>
        </w:rPr>
      </w:pPr>
      <w:r w:rsidRPr="00485A4C">
        <w:rPr>
          <w:rFonts w:ascii="Tahoma" w:hAnsi="Tahoma" w:cs="Tahoma"/>
          <w:b/>
          <w:bCs/>
          <w:sz w:val="22"/>
          <w:szCs w:val="22"/>
        </w:rPr>
        <w:t>5</w:t>
      </w:r>
      <w:r w:rsidR="009A02C8" w:rsidRPr="00485A4C">
        <w:rPr>
          <w:rFonts w:ascii="Tahoma" w:hAnsi="Tahoma" w:cs="Tahoma"/>
          <w:b/>
          <w:bCs/>
          <w:sz w:val="22"/>
          <w:szCs w:val="22"/>
        </w:rPr>
        <w:t>.1</w:t>
      </w:r>
      <w:r w:rsidR="007B2DEE" w:rsidRPr="00485A4C">
        <w:rPr>
          <w:rFonts w:ascii="Tahoma" w:hAnsi="Tahoma" w:cs="Tahoma"/>
          <w:b/>
          <w:bCs/>
          <w:sz w:val="22"/>
          <w:szCs w:val="22"/>
        </w:rPr>
        <w:t>8</w:t>
      </w:r>
      <w:r w:rsidR="009A02C8" w:rsidRPr="00485A4C">
        <w:rPr>
          <w:rFonts w:ascii="Tahoma" w:hAnsi="Tahoma" w:cs="Tahoma"/>
          <w:b/>
          <w:bCs/>
          <w:sz w:val="22"/>
          <w:szCs w:val="22"/>
        </w:rPr>
        <w:t xml:space="preserve"> Αναγνώριση εσόδων και εξόδων</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Τα έσοδα περιλαμβάνουν την εύλογη αξία των πωλήσεων αγαθών και παροχής υπηρεσιών, καθαρά από Φόρο Προστιθέμενης Αξίας, εκπτώσεις και επιστροφές. Η αναγνώριση των εσόδων γίνεται ως εξής: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(α) </w:t>
      </w:r>
      <w:r w:rsidRPr="00485A4C">
        <w:rPr>
          <w:rFonts w:ascii="Tahoma" w:hAnsi="Tahoma" w:cs="Tahoma"/>
          <w:sz w:val="22"/>
          <w:szCs w:val="22"/>
          <w:u w:val="single"/>
        </w:rPr>
        <w:t>Πωλήσεις αγαθών</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Οι πωλήσεις αγαθών αναγνωρίζονται όταν </w:t>
      </w:r>
      <w:r w:rsidR="0063665B" w:rsidRPr="00485A4C">
        <w:rPr>
          <w:rFonts w:ascii="Tahoma" w:hAnsi="Tahoma" w:cs="Tahoma"/>
          <w:sz w:val="22"/>
          <w:szCs w:val="22"/>
        </w:rPr>
        <w:t>η εταιρεία</w:t>
      </w:r>
      <w:r w:rsidRPr="00485A4C">
        <w:rPr>
          <w:rFonts w:ascii="Tahoma" w:hAnsi="Tahoma" w:cs="Tahoma"/>
          <w:sz w:val="22"/>
          <w:szCs w:val="22"/>
        </w:rPr>
        <w:t xml:space="preserve"> παραδίδει τα αγαθά στους πελάτες, τα αγαθά γίνονται αποδεκτά από αυτούς και η είσπραξη της απαίτησης είναι εύλογα εξασφαλισμένη.</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(β) </w:t>
      </w:r>
      <w:r w:rsidRPr="00485A4C">
        <w:rPr>
          <w:rFonts w:ascii="Tahoma" w:hAnsi="Tahoma" w:cs="Tahoma"/>
          <w:sz w:val="22"/>
          <w:szCs w:val="22"/>
          <w:u w:val="single"/>
        </w:rPr>
        <w:t>Παροχή υπηρεσιών</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lastRenderedPageBreak/>
        <w:t>Τα έσοδα από παροχή υπηρεσιών λογίζονται την περίοδο που παρέχονται οι υπηρεσίες, µε βάση το στάδιο ολοκλήρωσης της παρεχόμενης υπηρεσίας.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(γ) </w:t>
      </w:r>
      <w:r w:rsidRPr="00485A4C">
        <w:rPr>
          <w:rFonts w:ascii="Tahoma" w:hAnsi="Tahoma" w:cs="Tahoma"/>
          <w:sz w:val="22"/>
          <w:szCs w:val="22"/>
          <w:u w:val="single"/>
        </w:rPr>
        <w:t>Έσοδα από τόκους</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Έσοδα από τόκους θεωρούνται οι δουλευμένοι τόκοι, ο υπολογισμός των οποίων γίνεται λαμβάνοντας υπόψη το ανεξόφλητο κεφάλαιο και το ισχύον επιτόκιο, που πρέπει να εφαρμόζεται και το οποίο είναι το επιτόκιο που προεξοφλεί ακριβώς τις προσδοκώμενες μελλοντικές ταμειακές εισροές κατά την αναμενόμενη ζωή του οικονομικού περιουσιακού στοιχείου, στην καθαρή λογιστική αξία αυτού. </w:t>
      </w:r>
    </w:p>
    <w:p w:rsidR="009A02C8" w:rsidRPr="00485A4C" w:rsidRDefault="009A02C8" w:rsidP="009A02C8">
      <w:pPr>
        <w:autoSpaceDE w:val="0"/>
        <w:autoSpaceDN w:val="0"/>
        <w:adjustRightInd w:val="0"/>
        <w:spacing w:line="360" w:lineRule="auto"/>
        <w:ind w:left="-540"/>
        <w:jc w:val="both"/>
        <w:rPr>
          <w:rFonts w:ascii="Tahoma" w:hAnsi="Tahoma" w:cs="Tahoma"/>
          <w:b/>
          <w:sz w:val="22"/>
          <w:szCs w:val="22"/>
        </w:rPr>
      </w:pP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b/>
          <w:sz w:val="22"/>
          <w:szCs w:val="22"/>
        </w:rPr>
        <w:t>Έξοδα:</w:t>
      </w:r>
      <w:r w:rsidRPr="00485A4C">
        <w:rPr>
          <w:rFonts w:ascii="Tahoma" w:hAnsi="Tahoma" w:cs="Tahoma"/>
          <w:sz w:val="22"/>
          <w:szCs w:val="22"/>
        </w:rPr>
        <w:t xml:space="preserve"> Τα έξοδα αναγνωρίζονται στα αποτελέσματα σε δεδουλευμένη βάση. Οι πληρωμές που πραγματοποιούνται για λειτουργικές μισθώσεις μεταφέρονται στα  αποτελέσματα ως έξοδα, κατά το χρόνο χρήσεως του μισθίου. Τα έξοδα από τόκους αναγνωρίζονται σε δεδουλευμένη βάση.</w:t>
      </w:r>
    </w:p>
    <w:p w:rsidR="009A02C8" w:rsidRPr="00485A4C" w:rsidRDefault="009A02C8" w:rsidP="009A02C8">
      <w:pPr>
        <w:autoSpaceDE w:val="0"/>
        <w:autoSpaceDN w:val="0"/>
        <w:adjustRightInd w:val="0"/>
        <w:spacing w:line="360" w:lineRule="auto"/>
        <w:ind w:left="-540"/>
        <w:jc w:val="both"/>
        <w:rPr>
          <w:rFonts w:ascii="Tahoma" w:hAnsi="Tahoma" w:cs="Tahoma"/>
          <w:b/>
          <w:bCs/>
          <w:sz w:val="22"/>
          <w:szCs w:val="22"/>
        </w:rPr>
      </w:pPr>
    </w:p>
    <w:p w:rsidR="0063665B" w:rsidRPr="00485A4C" w:rsidRDefault="0063665B" w:rsidP="0063665B">
      <w:pPr>
        <w:autoSpaceDE w:val="0"/>
        <w:autoSpaceDN w:val="0"/>
        <w:adjustRightInd w:val="0"/>
        <w:spacing w:line="360" w:lineRule="auto"/>
        <w:ind w:left="-540"/>
        <w:jc w:val="both"/>
        <w:rPr>
          <w:rFonts w:ascii="Tahoma" w:hAnsi="Tahoma" w:cs="Tahoma"/>
          <w:b/>
          <w:bCs/>
          <w:sz w:val="22"/>
          <w:szCs w:val="22"/>
        </w:rPr>
      </w:pPr>
      <w:r w:rsidRPr="00485A4C">
        <w:rPr>
          <w:rFonts w:ascii="Tahoma" w:hAnsi="Tahoma" w:cs="Tahoma"/>
          <w:b/>
          <w:bCs/>
          <w:sz w:val="22"/>
          <w:szCs w:val="22"/>
        </w:rPr>
        <w:t>5.</w:t>
      </w:r>
      <w:r w:rsidR="007B2DEE" w:rsidRPr="00485A4C">
        <w:rPr>
          <w:rFonts w:ascii="Tahoma" w:hAnsi="Tahoma" w:cs="Tahoma"/>
          <w:b/>
          <w:bCs/>
          <w:sz w:val="22"/>
          <w:szCs w:val="22"/>
        </w:rPr>
        <w:t>19</w:t>
      </w:r>
      <w:r w:rsidRPr="00485A4C">
        <w:rPr>
          <w:rFonts w:ascii="Tahoma" w:hAnsi="Tahoma" w:cs="Tahoma"/>
          <w:b/>
          <w:bCs/>
          <w:sz w:val="22"/>
          <w:szCs w:val="22"/>
        </w:rPr>
        <w:t xml:space="preserve"> Κόστος δανεισμού</w:t>
      </w:r>
    </w:p>
    <w:p w:rsidR="0063665B" w:rsidRPr="00485A4C" w:rsidRDefault="0063665B" w:rsidP="0063665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Το κόστος δανεισμού αναγνωρίζεται ως έξοδο κατά την χρήση που πραγματοποιείται, εκτός από την περίπτωση της κεφαλαιοποίησης τέτοιου κόστους που σχετίζεται με περιουσιακά στοιχεία.</w:t>
      </w:r>
    </w:p>
    <w:p w:rsidR="0063665B" w:rsidRPr="00485A4C" w:rsidRDefault="0063665B" w:rsidP="0063665B">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Τα έξοδα από τόκους δανεισμού αναγνωρίζονται στα «Χρηματοοικονομικά έξοδα» της κατάστασης αποτελεσμάτων με τη μέθοδο του πραγματικού επιτοκίου. Η μέθοδος του πραγματικού επιτοκίου είναι μία μέθοδος υπολογισμού του αποσβεσμένου κόστους ενός χρηματοοικονομικού στοιχείου ή μιας χρηματοοικονομικής υποχρέωσης και επιμερισμού των εσόδων ή εξόδων από τόκους κατά τη διάρκεια της σχετικής περιόδου. Το πραγματικό επιτόκιο είναι εκείνο το επιτόκιο που προεξοφλεί με ακρίβεια μελλοντικές καταβολές τοις μετρητοίς ή εισπράξεις για τη διάρκεια της αναμενόμενης ζωής του χρηματοοικονομικού μέσου ή, όταν απαιτείται, για συντομότερο διάστημα, στην καθαρή λογιστική αξία του χρηματοοικονομικού περιουσιακού στοιχείου ή τις υποχρέωσης. Κατά τον υπολογισμό του πραγματικού επιτοκίου, η οικονομική οντότητα θα υπολογίζει τις ταμιακές ροές λαμβάνοντας υπόψη όλους τους συμβατικούς όρους που διέπουν το χρηματοοικονομικό μέσο (για παράδειγμα, προπληρωμές) αλλά δεν θα λαμβάνει υπόψη μελλοντικές πιστωτικές ζημίες. Στον υπολογισμό περιλαμβάνονται όλες οι αμοιβές και οι μονάδες που καταβλήθηκαν ή ελήφθησαν μεταξύ των συμβαλλόμενων που αποτελούν αναπόσπαστο μέρος του πραγματικού επιτοκίου, τα κόστη συναλλαγής και κάθε επαύξηση ή έκπτωση.</w:t>
      </w:r>
    </w:p>
    <w:p w:rsidR="0063665B" w:rsidRPr="00485A4C" w:rsidRDefault="0063665B" w:rsidP="009A02C8">
      <w:pPr>
        <w:autoSpaceDE w:val="0"/>
        <w:autoSpaceDN w:val="0"/>
        <w:adjustRightInd w:val="0"/>
        <w:ind w:left="-540"/>
        <w:jc w:val="both"/>
        <w:rPr>
          <w:rFonts w:ascii="Tahoma" w:hAnsi="Tahoma" w:cs="Tahoma"/>
          <w:sz w:val="22"/>
          <w:szCs w:val="22"/>
        </w:rPr>
      </w:pPr>
    </w:p>
    <w:p w:rsidR="009A02C8" w:rsidRPr="00485A4C" w:rsidRDefault="00F77896" w:rsidP="009A02C8">
      <w:pPr>
        <w:autoSpaceDE w:val="0"/>
        <w:autoSpaceDN w:val="0"/>
        <w:adjustRightInd w:val="0"/>
        <w:spacing w:line="360" w:lineRule="auto"/>
        <w:ind w:left="-540"/>
        <w:jc w:val="both"/>
        <w:rPr>
          <w:rFonts w:ascii="Tahoma" w:hAnsi="Tahoma" w:cs="Tahoma"/>
          <w:b/>
          <w:bCs/>
          <w:sz w:val="22"/>
          <w:szCs w:val="22"/>
        </w:rPr>
      </w:pPr>
      <w:r w:rsidRPr="00485A4C">
        <w:rPr>
          <w:rFonts w:ascii="Tahoma" w:hAnsi="Tahoma" w:cs="Tahoma"/>
          <w:b/>
          <w:bCs/>
          <w:sz w:val="22"/>
          <w:szCs w:val="22"/>
        </w:rPr>
        <w:t>5</w:t>
      </w:r>
      <w:r w:rsidR="009A02C8" w:rsidRPr="00485A4C">
        <w:rPr>
          <w:rFonts w:ascii="Tahoma" w:hAnsi="Tahoma" w:cs="Tahoma"/>
          <w:b/>
          <w:bCs/>
          <w:sz w:val="22"/>
          <w:szCs w:val="22"/>
        </w:rPr>
        <w:t>.2</w:t>
      </w:r>
      <w:r w:rsidR="007B2DEE" w:rsidRPr="00485A4C">
        <w:rPr>
          <w:rFonts w:ascii="Tahoma" w:hAnsi="Tahoma" w:cs="Tahoma"/>
          <w:b/>
          <w:bCs/>
          <w:sz w:val="22"/>
          <w:szCs w:val="22"/>
        </w:rPr>
        <w:t>0</w:t>
      </w:r>
      <w:r w:rsidR="009A02C8" w:rsidRPr="00485A4C">
        <w:rPr>
          <w:rFonts w:ascii="Tahoma" w:hAnsi="Tahoma" w:cs="Tahoma"/>
          <w:b/>
          <w:bCs/>
          <w:sz w:val="22"/>
          <w:szCs w:val="22"/>
        </w:rPr>
        <w:t xml:space="preserve"> Διανομή κερδών</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lastRenderedPageBreak/>
        <w:t xml:space="preserve">Η διάθεση κερδών αναγνωρίζεται ως υποχρέωση στις οικονομικές καταστάσεις </w:t>
      </w:r>
      <w:r w:rsidR="0063665B" w:rsidRPr="00485A4C">
        <w:rPr>
          <w:rFonts w:ascii="Tahoma" w:hAnsi="Tahoma" w:cs="Tahoma"/>
          <w:sz w:val="22"/>
          <w:szCs w:val="22"/>
        </w:rPr>
        <w:t>της εταιρείας</w:t>
      </w:r>
      <w:r w:rsidRPr="00485A4C">
        <w:rPr>
          <w:rFonts w:ascii="Tahoma" w:hAnsi="Tahoma" w:cs="Tahoma"/>
          <w:sz w:val="22"/>
          <w:szCs w:val="22"/>
        </w:rPr>
        <w:t xml:space="preserve"> όταν εγκρίνεται από τη Γενική Συνέλευση των μετόχων.</w:t>
      </w:r>
    </w:p>
    <w:p w:rsidR="001764E9" w:rsidRPr="00485A4C" w:rsidRDefault="001764E9" w:rsidP="009A02C8">
      <w:pPr>
        <w:autoSpaceDE w:val="0"/>
        <w:autoSpaceDN w:val="0"/>
        <w:adjustRightInd w:val="0"/>
        <w:spacing w:line="360" w:lineRule="auto"/>
        <w:ind w:left="-540"/>
        <w:jc w:val="both"/>
        <w:rPr>
          <w:rFonts w:ascii="Tahoma" w:hAnsi="Tahoma" w:cs="Tahoma"/>
          <w:b/>
          <w:bCs/>
          <w:sz w:val="22"/>
          <w:szCs w:val="22"/>
        </w:rPr>
      </w:pPr>
    </w:p>
    <w:p w:rsidR="009A02C8" w:rsidRPr="00485A4C" w:rsidRDefault="00F77896" w:rsidP="009A02C8">
      <w:pPr>
        <w:autoSpaceDE w:val="0"/>
        <w:autoSpaceDN w:val="0"/>
        <w:adjustRightInd w:val="0"/>
        <w:spacing w:line="360" w:lineRule="auto"/>
        <w:ind w:left="-540"/>
        <w:jc w:val="both"/>
        <w:rPr>
          <w:rFonts w:ascii="Tahoma" w:hAnsi="Tahoma" w:cs="Tahoma"/>
          <w:b/>
          <w:bCs/>
          <w:sz w:val="22"/>
          <w:szCs w:val="22"/>
        </w:rPr>
      </w:pPr>
      <w:r w:rsidRPr="00485A4C">
        <w:rPr>
          <w:rFonts w:ascii="Tahoma" w:hAnsi="Tahoma" w:cs="Tahoma"/>
          <w:b/>
          <w:bCs/>
          <w:sz w:val="22"/>
          <w:szCs w:val="22"/>
        </w:rPr>
        <w:t>5</w:t>
      </w:r>
      <w:r w:rsidR="009A02C8" w:rsidRPr="00485A4C">
        <w:rPr>
          <w:rFonts w:ascii="Tahoma" w:hAnsi="Tahoma" w:cs="Tahoma"/>
          <w:b/>
          <w:bCs/>
          <w:sz w:val="22"/>
          <w:szCs w:val="22"/>
        </w:rPr>
        <w:t>.2</w:t>
      </w:r>
      <w:r w:rsidR="007B2DEE" w:rsidRPr="00485A4C">
        <w:rPr>
          <w:rFonts w:ascii="Tahoma" w:hAnsi="Tahoma" w:cs="Tahoma"/>
          <w:b/>
          <w:bCs/>
          <w:sz w:val="22"/>
          <w:szCs w:val="22"/>
        </w:rPr>
        <w:t>1</w:t>
      </w:r>
      <w:r w:rsidR="009A02C8" w:rsidRPr="00485A4C">
        <w:rPr>
          <w:rFonts w:ascii="Tahoma" w:hAnsi="Tahoma" w:cs="Tahoma"/>
          <w:b/>
          <w:bCs/>
          <w:sz w:val="22"/>
          <w:szCs w:val="22"/>
        </w:rPr>
        <w:t xml:space="preserve"> Κέρδη ανά μετοχή </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Τα βασικά κέρδη ανά μετοχή υπολογίζονται με διαίρεση των  κερδών/ (ζημιών</w:t>
      </w:r>
      <w:r w:rsidR="0063665B" w:rsidRPr="00485A4C">
        <w:rPr>
          <w:rFonts w:ascii="Tahoma" w:hAnsi="Tahoma" w:cs="Tahoma"/>
          <w:sz w:val="22"/>
          <w:szCs w:val="22"/>
        </w:rPr>
        <w:t>της εταιρείας</w:t>
      </w:r>
      <w:r w:rsidRPr="00485A4C">
        <w:rPr>
          <w:rFonts w:ascii="Tahoma" w:hAnsi="Tahoma" w:cs="Tahoma"/>
          <w:sz w:val="22"/>
          <w:szCs w:val="22"/>
        </w:rPr>
        <w:t xml:space="preserve"> με τον σταθμισμένο μέσο αριθμό των κοινών μετοχών στην διάρκεια της χρήσης, εξαιρουμένων των τυχόν ιδίων κοινών μετοχών που αγοράζονται από αυτή (ίδιες μετοχές). </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Τα προσαρμοσμένα κέρδη ανά μετοχή προκύπτουν από την προσαρμογή του σταθμισμένου μέσου όρου των υφιστάμενων κοινών μετοχών της </w:t>
      </w:r>
      <w:r w:rsidR="0063665B" w:rsidRPr="00485A4C">
        <w:rPr>
          <w:rFonts w:ascii="Tahoma" w:hAnsi="Tahoma" w:cs="Tahoma"/>
          <w:sz w:val="22"/>
          <w:szCs w:val="22"/>
        </w:rPr>
        <w:t>ε</w:t>
      </w:r>
      <w:r w:rsidRPr="00485A4C">
        <w:rPr>
          <w:rFonts w:ascii="Tahoma" w:hAnsi="Tahoma" w:cs="Tahoma"/>
          <w:sz w:val="22"/>
          <w:szCs w:val="22"/>
        </w:rPr>
        <w:t xml:space="preserve">ταιρίας  κατά τη διάρκεια της χρήσης για δυνητικώς εκδοθησόμενες κοινές μετοχές. </w:t>
      </w:r>
    </w:p>
    <w:p w:rsidR="009A02C8" w:rsidRPr="00485A4C" w:rsidRDefault="0063665B"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εταιρεία</w:t>
      </w:r>
      <w:r w:rsidR="009A02C8" w:rsidRPr="00485A4C">
        <w:rPr>
          <w:rFonts w:ascii="Tahoma" w:hAnsi="Tahoma" w:cs="Tahoma"/>
          <w:sz w:val="22"/>
          <w:szCs w:val="22"/>
        </w:rPr>
        <w:t xml:space="preserve"> δεν έχει τέτοιες κατηγορίες δυνητικών τίτλων με συνέπεια τα βασικά και τα προσαρμοσμένα κέρδη κατά μετοχή να είναι ίδια.</w:t>
      </w:r>
    </w:p>
    <w:p w:rsidR="009A02C8" w:rsidRPr="00485A4C" w:rsidRDefault="009A02C8" w:rsidP="009A02C8">
      <w:pPr>
        <w:jc w:val="both"/>
        <w:rPr>
          <w:rFonts w:ascii="Tahoma" w:hAnsi="Tahoma" w:cs="Tahoma"/>
          <w:sz w:val="22"/>
          <w:szCs w:val="22"/>
        </w:rPr>
      </w:pPr>
    </w:p>
    <w:p w:rsidR="009A02C8" w:rsidRPr="00485A4C" w:rsidRDefault="009A02C8" w:rsidP="009A02C8">
      <w:pPr>
        <w:autoSpaceDE w:val="0"/>
        <w:autoSpaceDN w:val="0"/>
        <w:adjustRightInd w:val="0"/>
        <w:spacing w:line="360" w:lineRule="auto"/>
        <w:ind w:left="-540"/>
        <w:jc w:val="both"/>
        <w:rPr>
          <w:rFonts w:ascii="Tahoma" w:hAnsi="Tahoma" w:cs="Tahoma"/>
          <w:b/>
          <w:bCs/>
          <w:sz w:val="22"/>
          <w:szCs w:val="22"/>
        </w:rPr>
      </w:pPr>
      <w:r w:rsidRPr="00485A4C">
        <w:rPr>
          <w:rFonts w:ascii="Tahoma" w:hAnsi="Tahoma" w:cs="Tahoma"/>
          <w:b/>
          <w:bCs/>
          <w:sz w:val="22"/>
          <w:szCs w:val="22"/>
        </w:rPr>
        <w:t xml:space="preserve"> </w:t>
      </w:r>
      <w:r w:rsidR="00F77896" w:rsidRPr="00485A4C">
        <w:rPr>
          <w:rFonts w:ascii="Tahoma" w:hAnsi="Tahoma" w:cs="Tahoma"/>
          <w:b/>
          <w:bCs/>
          <w:sz w:val="22"/>
          <w:szCs w:val="22"/>
        </w:rPr>
        <w:t>5</w:t>
      </w:r>
      <w:r w:rsidR="00A60A4D" w:rsidRPr="00485A4C">
        <w:rPr>
          <w:rFonts w:ascii="Tahoma" w:hAnsi="Tahoma" w:cs="Tahoma"/>
          <w:b/>
          <w:bCs/>
          <w:sz w:val="22"/>
          <w:szCs w:val="22"/>
        </w:rPr>
        <w:t>.2</w:t>
      </w:r>
      <w:r w:rsidR="007B2DEE" w:rsidRPr="00485A4C">
        <w:rPr>
          <w:rFonts w:ascii="Tahoma" w:hAnsi="Tahoma" w:cs="Tahoma"/>
          <w:b/>
          <w:bCs/>
          <w:sz w:val="22"/>
          <w:szCs w:val="22"/>
        </w:rPr>
        <w:t>2</w:t>
      </w:r>
      <w:r w:rsidRPr="00485A4C">
        <w:rPr>
          <w:rFonts w:ascii="Tahoma" w:hAnsi="Tahoma" w:cs="Tahoma"/>
          <w:b/>
          <w:bCs/>
          <w:sz w:val="22"/>
          <w:szCs w:val="22"/>
        </w:rPr>
        <w:t xml:space="preserve"> Συμψηφισμός χρηματοοικονομικών μέσων</w:t>
      </w:r>
    </w:p>
    <w:p w:rsidR="009A02C8" w:rsidRPr="00485A4C" w:rsidRDefault="009A02C8" w:rsidP="009A02C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Τα χρηματοοικονομικά στοιχεία ενεργητικού και παθητικού συμψηφίζονται και το καθαρό ποσό παρουσιάζεται στον ισολογισμό, μόνο όταν υπάρχει νομικό δικαίωμα συμψηφισμού των ποσών που αναγνωρίστηκαν, και παράλληλα υπάρχει η πρόθεση να γίνει ο διακανονισμός σε καθαρή βάση, ή η ρευστοποίηση του περιουσιακού στοιχείου και ο διακανονισμός της υποχρέωσης να πραγματοποιηθούν ταυτόχρονα.</w:t>
      </w:r>
    </w:p>
    <w:p w:rsidR="006C56A5" w:rsidRPr="00485A4C" w:rsidRDefault="006C56A5" w:rsidP="009A02C8">
      <w:pPr>
        <w:jc w:val="both"/>
        <w:rPr>
          <w:rFonts w:ascii="Tahoma" w:hAnsi="Tahoma" w:cs="Tahoma"/>
          <w:sz w:val="22"/>
          <w:szCs w:val="22"/>
        </w:rPr>
      </w:pPr>
    </w:p>
    <w:p w:rsidR="00216C59" w:rsidRPr="00485A4C" w:rsidRDefault="00216C59" w:rsidP="009A02C8">
      <w:pPr>
        <w:jc w:val="both"/>
        <w:rPr>
          <w:rFonts w:ascii="Tahoma" w:hAnsi="Tahoma" w:cs="Tahoma"/>
          <w:sz w:val="22"/>
          <w:szCs w:val="22"/>
        </w:rPr>
      </w:pPr>
    </w:p>
    <w:p w:rsidR="004762D0" w:rsidRPr="00485A4C" w:rsidRDefault="0020008D" w:rsidP="004762D0">
      <w:pPr>
        <w:pStyle w:val="Heading1"/>
        <w:spacing w:before="0" w:after="0" w:line="360" w:lineRule="auto"/>
        <w:ind w:left="-540"/>
        <w:rPr>
          <w:rFonts w:ascii="Tahoma" w:hAnsi="Tahoma" w:cs="Tahoma"/>
          <w:sz w:val="22"/>
          <w:szCs w:val="22"/>
        </w:rPr>
      </w:pPr>
      <w:bookmarkStart w:id="19" w:name="_Toc526260600"/>
      <w:r w:rsidRPr="00485A4C">
        <w:rPr>
          <w:rFonts w:ascii="Tahoma" w:hAnsi="Tahoma" w:cs="Tahoma"/>
          <w:sz w:val="22"/>
          <w:szCs w:val="22"/>
        </w:rPr>
        <w:t>6</w:t>
      </w:r>
      <w:r w:rsidR="004762D0" w:rsidRPr="00485A4C">
        <w:rPr>
          <w:rFonts w:ascii="Tahoma" w:hAnsi="Tahoma" w:cs="Tahoma"/>
          <w:sz w:val="22"/>
          <w:szCs w:val="22"/>
        </w:rPr>
        <w:t>. Διαχείριση χρηματοοικονομικού κινδύνου</w:t>
      </w:r>
      <w:bookmarkEnd w:id="19"/>
    </w:p>
    <w:p w:rsidR="00E12234" w:rsidRPr="00485A4C" w:rsidRDefault="00E12234" w:rsidP="00E12234">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Τα χρηματοοικονομικά εργαλεία </w:t>
      </w:r>
      <w:r w:rsidR="00A60A4D" w:rsidRPr="00485A4C">
        <w:rPr>
          <w:rFonts w:ascii="Tahoma" w:hAnsi="Tahoma" w:cs="Tahoma"/>
          <w:sz w:val="22"/>
          <w:szCs w:val="22"/>
        </w:rPr>
        <w:t>της εταιρείας</w:t>
      </w:r>
      <w:r w:rsidRPr="00485A4C">
        <w:rPr>
          <w:rFonts w:ascii="Tahoma" w:hAnsi="Tahoma" w:cs="Tahoma"/>
          <w:sz w:val="22"/>
          <w:szCs w:val="22"/>
        </w:rPr>
        <w:t xml:space="preserve"> αποτελούνται κυρίως από ταμειακά διαθέσιμα</w:t>
      </w:r>
      <w:r w:rsidR="00A60A4D" w:rsidRPr="00485A4C">
        <w:rPr>
          <w:rFonts w:ascii="Tahoma" w:hAnsi="Tahoma" w:cs="Tahoma"/>
          <w:sz w:val="22"/>
          <w:szCs w:val="22"/>
        </w:rPr>
        <w:t xml:space="preserve"> και ισοδύναμα</w:t>
      </w:r>
      <w:r w:rsidRPr="00485A4C">
        <w:rPr>
          <w:rFonts w:ascii="Tahoma" w:hAnsi="Tahoma" w:cs="Tahoma"/>
          <w:sz w:val="22"/>
          <w:szCs w:val="22"/>
        </w:rPr>
        <w:t xml:space="preserve">, </w:t>
      </w:r>
      <w:r w:rsidR="00A60A4D" w:rsidRPr="00485A4C">
        <w:rPr>
          <w:rFonts w:ascii="Tahoma" w:hAnsi="Tahoma" w:cs="Tahoma"/>
          <w:sz w:val="22"/>
          <w:szCs w:val="22"/>
        </w:rPr>
        <w:t xml:space="preserve">ομολογιακά δάνεια </w:t>
      </w:r>
      <w:r w:rsidRPr="00485A4C">
        <w:rPr>
          <w:rFonts w:ascii="Tahoma" w:hAnsi="Tahoma" w:cs="Tahoma"/>
          <w:sz w:val="22"/>
          <w:szCs w:val="22"/>
        </w:rPr>
        <w:t xml:space="preserve">καθώς και εμπορικές απαιτήσεις και υποχρεώσεις. </w:t>
      </w:r>
      <w:r w:rsidR="00A60A4D" w:rsidRPr="00485A4C">
        <w:rPr>
          <w:rFonts w:ascii="Tahoma" w:hAnsi="Tahoma" w:cs="Tahoma"/>
          <w:sz w:val="22"/>
          <w:szCs w:val="22"/>
        </w:rPr>
        <w:t>Η εταιρεία</w:t>
      </w:r>
      <w:r w:rsidRPr="00485A4C">
        <w:rPr>
          <w:rFonts w:ascii="Tahoma" w:hAnsi="Tahoma" w:cs="Tahoma"/>
          <w:sz w:val="22"/>
          <w:szCs w:val="22"/>
        </w:rPr>
        <w:t xml:space="preserve"> συνήθως, δεν διενεργεί συναλλαγές κερδοσκοπικού χαρακτήρα ή  συναλλαγές οι οποίες δεν σχετίζονται µε την εμπορική δραστηριότητα του. </w:t>
      </w:r>
      <w:r w:rsidR="00A60A4D" w:rsidRPr="00485A4C">
        <w:rPr>
          <w:rFonts w:ascii="Tahoma" w:hAnsi="Tahoma" w:cs="Tahoma"/>
          <w:sz w:val="22"/>
          <w:szCs w:val="22"/>
        </w:rPr>
        <w:t>Επίσης</w:t>
      </w:r>
      <w:r w:rsidRPr="00485A4C">
        <w:rPr>
          <w:rFonts w:ascii="Tahoma" w:hAnsi="Tahoma" w:cs="Tahoma"/>
          <w:sz w:val="22"/>
          <w:szCs w:val="22"/>
        </w:rPr>
        <w:t xml:space="preserve"> εκτίθεται σε περιορισμένο φάσμα χρηματοοικονομικών κινδύνων. Οι συνήθεις κίνδυνοι στους οποίους θεωρητικά υπάγεται, είναι κίνδυνοι αγοράς (συναλλαγματικός κίνδυνος, επιτόκιο, τιμές αγοράς), πιστωτικός κίνδυνος, κίνδυνος ρευστότητας, κίνδυνος ταμειακών ροών.</w:t>
      </w:r>
    </w:p>
    <w:p w:rsidR="00E12234" w:rsidRPr="00485A4C" w:rsidRDefault="00E12234" w:rsidP="00E12234">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διαχείριση των κινδύ</w:t>
      </w:r>
      <w:r w:rsidR="00A60A4D" w:rsidRPr="00485A4C">
        <w:rPr>
          <w:rFonts w:ascii="Tahoma" w:hAnsi="Tahoma" w:cs="Tahoma"/>
          <w:sz w:val="22"/>
          <w:szCs w:val="22"/>
        </w:rPr>
        <w:t>νων γίνεται από τη Διοίκηση</w:t>
      </w:r>
      <w:r w:rsidRPr="00485A4C">
        <w:rPr>
          <w:rFonts w:ascii="Tahoma" w:hAnsi="Tahoma" w:cs="Tahoma"/>
          <w:sz w:val="22"/>
          <w:szCs w:val="22"/>
        </w:rPr>
        <w:t xml:space="preserve"> και εστιάζεται κυρίως στην αναγνώριση και εκτίμηση των χρηματοοικονομικών κινδύνων καθώς και την πολιτική διατήρησης πλεονάζουσας ρευστότητας.</w:t>
      </w:r>
    </w:p>
    <w:p w:rsidR="00E12234" w:rsidRPr="00485A4C" w:rsidRDefault="00E12234" w:rsidP="00E12234">
      <w:pPr>
        <w:autoSpaceDE w:val="0"/>
        <w:autoSpaceDN w:val="0"/>
        <w:adjustRightInd w:val="0"/>
        <w:ind w:left="-540"/>
        <w:jc w:val="both"/>
        <w:rPr>
          <w:rFonts w:ascii="Tahoma" w:hAnsi="Tahoma" w:cs="Tahoma"/>
          <w:b/>
          <w:bCs/>
          <w:sz w:val="22"/>
          <w:szCs w:val="22"/>
        </w:rPr>
      </w:pPr>
    </w:p>
    <w:p w:rsidR="00E12234" w:rsidRPr="00485A4C" w:rsidRDefault="00E12234" w:rsidP="00E12234">
      <w:pPr>
        <w:autoSpaceDE w:val="0"/>
        <w:autoSpaceDN w:val="0"/>
        <w:adjustRightInd w:val="0"/>
        <w:ind w:left="-540"/>
        <w:jc w:val="both"/>
        <w:rPr>
          <w:rFonts w:ascii="Tahoma" w:hAnsi="Tahoma" w:cs="Tahoma"/>
          <w:b/>
          <w:bCs/>
          <w:sz w:val="22"/>
          <w:szCs w:val="22"/>
        </w:rPr>
      </w:pPr>
      <w:r w:rsidRPr="00485A4C">
        <w:rPr>
          <w:rFonts w:ascii="Tahoma" w:hAnsi="Tahoma" w:cs="Tahoma"/>
          <w:b/>
          <w:bCs/>
          <w:sz w:val="22"/>
          <w:szCs w:val="22"/>
        </w:rPr>
        <w:t>Παράγοντες χρηματοοικονομικού κινδύνου</w:t>
      </w:r>
    </w:p>
    <w:p w:rsidR="00E12234" w:rsidRPr="00485A4C" w:rsidRDefault="00E12234" w:rsidP="00E12234">
      <w:pPr>
        <w:autoSpaceDE w:val="0"/>
        <w:autoSpaceDN w:val="0"/>
        <w:adjustRightInd w:val="0"/>
        <w:ind w:left="-540"/>
        <w:jc w:val="both"/>
        <w:rPr>
          <w:rFonts w:ascii="Tahoma" w:hAnsi="Tahoma" w:cs="Tahoma"/>
          <w:b/>
          <w:bCs/>
          <w:sz w:val="22"/>
          <w:szCs w:val="22"/>
        </w:rPr>
      </w:pPr>
    </w:p>
    <w:p w:rsidR="00E12234" w:rsidRPr="00485A4C" w:rsidRDefault="00E12234" w:rsidP="00E12234">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(α) </w:t>
      </w:r>
      <w:r w:rsidRPr="00485A4C">
        <w:rPr>
          <w:rFonts w:ascii="Tahoma" w:hAnsi="Tahoma" w:cs="Tahoma"/>
          <w:sz w:val="22"/>
          <w:szCs w:val="22"/>
          <w:u w:val="single"/>
        </w:rPr>
        <w:t xml:space="preserve">Κίνδυνος </w:t>
      </w:r>
      <w:r w:rsidR="00A60A4D" w:rsidRPr="00485A4C">
        <w:rPr>
          <w:rFonts w:ascii="Tahoma" w:hAnsi="Tahoma" w:cs="Tahoma"/>
          <w:sz w:val="22"/>
          <w:szCs w:val="22"/>
          <w:u w:val="single"/>
        </w:rPr>
        <w:t>αγοράς</w:t>
      </w:r>
    </w:p>
    <w:p w:rsidR="00A60A4D" w:rsidRPr="00485A4C" w:rsidRDefault="00A60A4D" w:rsidP="00A60A4D">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lastRenderedPageBreak/>
        <w:t>i) Συναλλαγματικός κίνδυνος</w:t>
      </w:r>
    </w:p>
    <w:p w:rsidR="00A60A4D" w:rsidRPr="00485A4C" w:rsidRDefault="00A60A4D" w:rsidP="00A60A4D">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 συναλλαγματικός κίνδυνος προκύπτει λόγω τω</w:t>
      </w:r>
      <w:r w:rsidR="00644454" w:rsidRPr="00485A4C">
        <w:rPr>
          <w:rFonts w:ascii="Tahoma" w:hAnsi="Tahoma" w:cs="Tahoma"/>
          <w:sz w:val="22"/>
          <w:szCs w:val="22"/>
        </w:rPr>
        <w:t>ν συναλλαγών σε ξένο νόμισμα. Η ε</w:t>
      </w:r>
      <w:r w:rsidRPr="00485A4C">
        <w:rPr>
          <w:rFonts w:ascii="Tahoma" w:hAnsi="Tahoma" w:cs="Tahoma"/>
          <w:sz w:val="22"/>
          <w:szCs w:val="22"/>
        </w:rPr>
        <w:t>ταιρεία δεν έχει δραστηριότητα στο εξωτερικό και κατά συνέπεια δεν είναι εκτεθειμένη σε κινδύνους από ξένο νόμισμα. Τα περιουσιακά στοιχεία και οι υποχρεώσεις της έχουν αρχικά αναγνωριστεί σε (€) ευρώ, που είναι το λειτουργικό της νόμισμα.</w:t>
      </w:r>
    </w:p>
    <w:p w:rsidR="00A60A4D" w:rsidRPr="00485A4C" w:rsidRDefault="00A60A4D" w:rsidP="00A60A4D">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ii) Κίνδυνος τιμών</w:t>
      </w:r>
    </w:p>
    <w:p w:rsidR="00A60A4D" w:rsidRPr="00485A4C" w:rsidRDefault="00644454" w:rsidP="00A60A4D">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ε</w:t>
      </w:r>
      <w:r w:rsidR="00A60A4D" w:rsidRPr="00485A4C">
        <w:rPr>
          <w:rFonts w:ascii="Tahoma" w:hAnsi="Tahoma" w:cs="Tahoma"/>
          <w:sz w:val="22"/>
          <w:szCs w:val="22"/>
        </w:rPr>
        <w:t xml:space="preserve">ταιρεία εκτίθεται στον κίνδυνο από την μεταβολή του Δείκτη Τιμών Καταναλωτή μέσα από τις </w:t>
      </w:r>
      <w:r w:rsidR="00044AE5" w:rsidRPr="00485A4C">
        <w:rPr>
          <w:rFonts w:ascii="Tahoma" w:hAnsi="Tahoma" w:cs="Tahoma"/>
          <w:sz w:val="22"/>
          <w:szCs w:val="22"/>
        </w:rPr>
        <w:t xml:space="preserve">συνήθεις </w:t>
      </w:r>
      <w:r w:rsidR="00A60A4D" w:rsidRPr="00485A4C">
        <w:rPr>
          <w:rFonts w:ascii="Tahoma" w:hAnsi="Tahoma" w:cs="Tahoma"/>
          <w:sz w:val="22"/>
          <w:szCs w:val="22"/>
        </w:rPr>
        <w:t xml:space="preserve">δραστηριότητες της </w:t>
      </w:r>
      <w:r w:rsidRPr="00485A4C">
        <w:rPr>
          <w:rFonts w:ascii="Tahoma" w:hAnsi="Tahoma" w:cs="Tahoma"/>
          <w:sz w:val="22"/>
          <w:szCs w:val="22"/>
        </w:rPr>
        <w:t xml:space="preserve">αλλά και όταν </w:t>
      </w:r>
      <w:r w:rsidR="00044AE5" w:rsidRPr="00485A4C">
        <w:rPr>
          <w:rFonts w:ascii="Tahoma" w:hAnsi="Tahoma" w:cs="Tahoma"/>
          <w:sz w:val="22"/>
          <w:szCs w:val="22"/>
        </w:rPr>
        <w:t xml:space="preserve">συνάπτει συμβάσεις </w:t>
      </w:r>
      <w:r w:rsidR="00A60A4D" w:rsidRPr="00485A4C">
        <w:rPr>
          <w:rFonts w:ascii="Tahoma" w:hAnsi="Tahoma" w:cs="Tahoma"/>
          <w:sz w:val="22"/>
          <w:szCs w:val="22"/>
        </w:rPr>
        <w:t>μισθώσε</w:t>
      </w:r>
      <w:r w:rsidR="00044AE5" w:rsidRPr="00485A4C">
        <w:rPr>
          <w:rFonts w:ascii="Tahoma" w:hAnsi="Tahoma" w:cs="Tahoma"/>
          <w:sz w:val="22"/>
          <w:szCs w:val="22"/>
        </w:rPr>
        <w:t>ων</w:t>
      </w:r>
      <w:r w:rsidR="00A60A4D" w:rsidRPr="00485A4C">
        <w:rPr>
          <w:rFonts w:ascii="Tahoma" w:hAnsi="Tahoma" w:cs="Tahoma"/>
          <w:sz w:val="22"/>
          <w:szCs w:val="22"/>
        </w:rPr>
        <w:t>. Επισημαίνεται ότι στην πλειοψηφία το</w:t>
      </w:r>
      <w:r w:rsidRPr="00485A4C">
        <w:rPr>
          <w:rFonts w:ascii="Tahoma" w:hAnsi="Tahoma" w:cs="Tahoma"/>
          <w:sz w:val="22"/>
          <w:szCs w:val="22"/>
        </w:rPr>
        <w:t>υς οι συμβάσεις που συνάπτει η ε</w:t>
      </w:r>
      <w:r w:rsidR="00A60A4D" w:rsidRPr="00485A4C">
        <w:rPr>
          <w:rFonts w:ascii="Tahoma" w:hAnsi="Tahoma" w:cs="Tahoma"/>
          <w:sz w:val="22"/>
          <w:szCs w:val="22"/>
        </w:rPr>
        <w:t>ταιρεία είναι βραχυχρόνιας διάρκειας.</w:t>
      </w:r>
    </w:p>
    <w:p w:rsidR="00A60A4D" w:rsidRPr="00485A4C" w:rsidRDefault="00A60A4D" w:rsidP="00A60A4D">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iii) Κίνδυνος ταμειακών ροών και κίνδυνος μεταβολής επιτοκίων</w:t>
      </w:r>
    </w:p>
    <w:p w:rsidR="00A60A4D" w:rsidRPr="00485A4C" w:rsidRDefault="00644454" w:rsidP="00A60A4D">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ε</w:t>
      </w:r>
      <w:r w:rsidR="00A60A4D" w:rsidRPr="00485A4C">
        <w:rPr>
          <w:rFonts w:ascii="Tahoma" w:hAnsi="Tahoma" w:cs="Tahoma"/>
          <w:sz w:val="22"/>
          <w:szCs w:val="22"/>
        </w:rPr>
        <w:t>ταιρεία έχει στο ενεργητικό της έντοκα περιουσιακά στοιχεία, όπως βραχυχρόνιες επενδύσεις σε καταθέσεις όψεως</w:t>
      </w:r>
      <w:r w:rsidRPr="00485A4C">
        <w:rPr>
          <w:rFonts w:ascii="Tahoma" w:hAnsi="Tahoma" w:cs="Tahoma"/>
          <w:sz w:val="22"/>
          <w:szCs w:val="22"/>
        </w:rPr>
        <w:t>. Η ε</w:t>
      </w:r>
      <w:r w:rsidR="00A60A4D" w:rsidRPr="00485A4C">
        <w:rPr>
          <w:rFonts w:ascii="Tahoma" w:hAnsi="Tahoma" w:cs="Tahoma"/>
          <w:sz w:val="22"/>
          <w:szCs w:val="22"/>
        </w:rPr>
        <w:t>ταιρεία δεν έχει</w:t>
      </w:r>
      <w:r w:rsidR="00044AE5" w:rsidRPr="00485A4C">
        <w:rPr>
          <w:rFonts w:ascii="Tahoma" w:hAnsi="Tahoma" w:cs="Tahoma"/>
          <w:sz w:val="22"/>
          <w:szCs w:val="22"/>
        </w:rPr>
        <w:t xml:space="preserve"> σημαντικές </w:t>
      </w:r>
      <w:r w:rsidR="00A60A4D" w:rsidRPr="00485A4C">
        <w:rPr>
          <w:rFonts w:ascii="Tahoma" w:hAnsi="Tahoma" w:cs="Tahoma"/>
          <w:sz w:val="22"/>
          <w:szCs w:val="22"/>
        </w:rPr>
        <w:t xml:space="preserve"> υποχρεώσει</w:t>
      </w:r>
      <w:r w:rsidRPr="00485A4C">
        <w:rPr>
          <w:rFonts w:ascii="Tahoma" w:hAnsi="Tahoma" w:cs="Tahoma"/>
          <w:sz w:val="22"/>
          <w:szCs w:val="22"/>
        </w:rPr>
        <w:t>ς από δάνεια. Κατά συνέπεια, η ε</w:t>
      </w:r>
      <w:r w:rsidR="00A60A4D" w:rsidRPr="00485A4C">
        <w:rPr>
          <w:rFonts w:ascii="Tahoma" w:hAnsi="Tahoma" w:cs="Tahoma"/>
          <w:sz w:val="22"/>
          <w:szCs w:val="22"/>
        </w:rPr>
        <w:t>ταιρεία εκτίθεται σε μικρό κίνδυνο από διακυμάνσεις στα επιτόκια.</w:t>
      </w:r>
    </w:p>
    <w:p w:rsidR="00E12234" w:rsidRPr="00485A4C" w:rsidRDefault="00E12234" w:rsidP="00E12234">
      <w:pPr>
        <w:autoSpaceDE w:val="0"/>
        <w:autoSpaceDN w:val="0"/>
        <w:adjustRightInd w:val="0"/>
        <w:spacing w:line="360" w:lineRule="auto"/>
        <w:ind w:left="-540"/>
        <w:jc w:val="both"/>
        <w:rPr>
          <w:rFonts w:ascii="Tahoma" w:hAnsi="Tahoma" w:cs="Tahoma"/>
          <w:sz w:val="22"/>
          <w:szCs w:val="22"/>
        </w:rPr>
      </w:pPr>
    </w:p>
    <w:p w:rsidR="00E12234" w:rsidRPr="00485A4C" w:rsidRDefault="00E12234" w:rsidP="00E12234">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w:t>
      </w:r>
      <w:r w:rsidR="00044AE5" w:rsidRPr="00485A4C">
        <w:rPr>
          <w:rFonts w:ascii="Tahoma" w:hAnsi="Tahoma" w:cs="Tahoma"/>
          <w:sz w:val="22"/>
          <w:szCs w:val="22"/>
        </w:rPr>
        <w:t>β</w:t>
      </w:r>
      <w:r w:rsidRPr="00485A4C">
        <w:rPr>
          <w:rFonts w:ascii="Tahoma" w:hAnsi="Tahoma" w:cs="Tahoma"/>
          <w:sz w:val="22"/>
          <w:szCs w:val="22"/>
        </w:rPr>
        <w:t xml:space="preserve">) </w:t>
      </w:r>
      <w:r w:rsidRPr="00485A4C">
        <w:rPr>
          <w:rFonts w:ascii="Tahoma" w:hAnsi="Tahoma" w:cs="Tahoma"/>
          <w:sz w:val="22"/>
          <w:szCs w:val="22"/>
          <w:u w:val="single"/>
        </w:rPr>
        <w:t>Πιστωτικός κίνδυνος</w:t>
      </w:r>
    </w:p>
    <w:p w:rsidR="00E12234" w:rsidRPr="00485A4C" w:rsidRDefault="00044AE5" w:rsidP="00E12234">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εταιρεία</w:t>
      </w:r>
      <w:r w:rsidR="00E12234" w:rsidRPr="00485A4C">
        <w:rPr>
          <w:rFonts w:ascii="Tahoma" w:hAnsi="Tahoma" w:cs="Tahoma"/>
          <w:sz w:val="22"/>
          <w:szCs w:val="22"/>
        </w:rPr>
        <w:t xml:space="preserve"> παρέχει υπηρεσίες και πουλάει </w:t>
      </w:r>
      <w:r w:rsidRPr="00485A4C">
        <w:rPr>
          <w:rFonts w:ascii="Tahoma" w:hAnsi="Tahoma" w:cs="Tahoma"/>
          <w:sz w:val="22"/>
          <w:szCs w:val="22"/>
        </w:rPr>
        <w:t xml:space="preserve">προϊόντα &amp; </w:t>
      </w:r>
      <w:r w:rsidR="00E12234" w:rsidRPr="00485A4C">
        <w:rPr>
          <w:rFonts w:ascii="Tahoma" w:hAnsi="Tahoma" w:cs="Tahoma"/>
          <w:sz w:val="22"/>
          <w:szCs w:val="22"/>
        </w:rPr>
        <w:t xml:space="preserve">εμπορεύματα </w:t>
      </w:r>
      <w:r w:rsidRPr="00485A4C">
        <w:rPr>
          <w:rFonts w:ascii="Tahoma" w:hAnsi="Tahoma" w:cs="Tahoma"/>
          <w:sz w:val="22"/>
          <w:szCs w:val="22"/>
        </w:rPr>
        <w:t>αποκλειστικά χονδρική</w:t>
      </w:r>
      <w:r w:rsidR="00E12234" w:rsidRPr="00485A4C">
        <w:rPr>
          <w:rFonts w:ascii="Tahoma" w:hAnsi="Tahoma" w:cs="Tahoma"/>
          <w:sz w:val="22"/>
          <w:szCs w:val="22"/>
        </w:rPr>
        <w:t xml:space="preserve">. Η Διοίκηση έχει θέσει πολιτικές οι οποίες εξασφαλίζουν ότι οι πωλήσεις αγαθών και υπηρεσιών πραγματοποιούνται σε πελάτες µε αξιολογημένο ιστορικό πιστώσεων. Οι εμπορικές απαιτήσεις προέρχονται από µία σχετικά σταθερή βάση πελατών. </w:t>
      </w:r>
      <w:r w:rsidRPr="00485A4C">
        <w:rPr>
          <w:rFonts w:ascii="Tahoma" w:hAnsi="Tahoma" w:cs="Tahoma"/>
          <w:sz w:val="22"/>
          <w:szCs w:val="22"/>
        </w:rPr>
        <w:t>Η εταιρεία</w:t>
      </w:r>
      <w:r w:rsidR="00E12234" w:rsidRPr="00485A4C">
        <w:rPr>
          <w:rFonts w:ascii="Tahoma" w:hAnsi="Tahoma" w:cs="Tahoma"/>
          <w:sz w:val="22"/>
          <w:szCs w:val="22"/>
        </w:rPr>
        <w:t xml:space="preserve"> παρακολουθεί την οικονομική κατάσταση των πελατών συνεχώς και προσαρμόζει την πιστωτική πολιτική του αναλόγως. Κατάλληλες προβλέψεις αναγνωρίζονται για ζημιές προερχόμενες από απομείωση απαιτήσεων λόγω συγκεκριμένων πιστωτικών κινδύνων.</w:t>
      </w:r>
    </w:p>
    <w:p w:rsidR="00E12234" w:rsidRPr="00485A4C" w:rsidRDefault="00E12234" w:rsidP="00E12234">
      <w:pPr>
        <w:autoSpaceDE w:val="0"/>
        <w:autoSpaceDN w:val="0"/>
        <w:adjustRightInd w:val="0"/>
        <w:spacing w:line="360" w:lineRule="auto"/>
        <w:ind w:left="-540"/>
        <w:jc w:val="both"/>
        <w:rPr>
          <w:rFonts w:ascii="Tahoma" w:hAnsi="Tahoma" w:cs="Tahoma"/>
          <w:sz w:val="22"/>
          <w:szCs w:val="22"/>
        </w:rPr>
      </w:pPr>
    </w:p>
    <w:p w:rsidR="00E12234" w:rsidRPr="00485A4C" w:rsidRDefault="00E12234" w:rsidP="00E12234">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w:t>
      </w:r>
      <w:r w:rsidR="00044AE5" w:rsidRPr="00485A4C">
        <w:rPr>
          <w:rFonts w:ascii="Tahoma" w:hAnsi="Tahoma" w:cs="Tahoma"/>
          <w:sz w:val="22"/>
          <w:szCs w:val="22"/>
        </w:rPr>
        <w:t>γ</w:t>
      </w:r>
      <w:r w:rsidRPr="00485A4C">
        <w:rPr>
          <w:rFonts w:ascii="Tahoma" w:hAnsi="Tahoma" w:cs="Tahoma"/>
          <w:sz w:val="22"/>
          <w:szCs w:val="22"/>
        </w:rPr>
        <w:t xml:space="preserve">) </w:t>
      </w:r>
      <w:r w:rsidRPr="00485A4C">
        <w:rPr>
          <w:rFonts w:ascii="Tahoma" w:hAnsi="Tahoma" w:cs="Tahoma"/>
          <w:sz w:val="22"/>
          <w:szCs w:val="22"/>
          <w:u w:val="single"/>
        </w:rPr>
        <w:t>Κίνδυνος ρευστότητας</w:t>
      </w:r>
    </w:p>
    <w:p w:rsidR="00E12234" w:rsidRPr="00485A4C" w:rsidRDefault="00E12234" w:rsidP="00E12234">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Ο κίνδυνος ρευστότητας σχετίζεται με την δυνατότητα </w:t>
      </w:r>
      <w:r w:rsidR="00044AE5" w:rsidRPr="00485A4C">
        <w:rPr>
          <w:rFonts w:ascii="Tahoma" w:hAnsi="Tahoma" w:cs="Tahoma"/>
          <w:sz w:val="22"/>
          <w:szCs w:val="22"/>
        </w:rPr>
        <w:t>της εταιρείας</w:t>
      </w:r>
      <w:r w:rsidRPr="00485A4C">
        <w:rPr>
          <w:rFonts w:ascii="Tahoma" w:hAnsi="Tahoma" w:cs="Tahoma"/>
          <w:sz w:val="22"/>
          <w:szCs w:val="22"/>
        </w:rPr>
        <w:t xml:space="preserve"> να εκπληρώσει τις χρηματοοικονομικές </w:t>
      </w:r>
      <w:r w:rsidR="00044AE5" w:rsidRPr="00485A4C">
        <w:rPr>
          <w:rFonts w:ascii="Tahoma" w:hAnsi="Tahoma" w:cs="Tahoma"/>
          <w:sz w:val="22"/>
          <w:szCs w:val="22"/>
        </w:rPr>
        <w:t>της</w:t>
      </w:r>
      <w:r w:rsidRPr="00485A4C">
        <w:rPr>
          <w:rFonts w:ascii="Tahoma" w:hAnsi="Tahoma" w:cs="Tahoma"/>
          <w:sz w:val="22"/>
          <w:szCs w:val="22"/>
        </w:rPr>
        <w:t xml:space="preserve"> υποχρεώσεις, όταν αυτές γίνουν ληξιπρόθεσμες.</w:t>
      </w:r>
    </w:p>
    <w:p w:rsidR="00E12234" w:rsidRPr="00485A4C" w:rsidRDefault="00E12234" w:rsidP="00E12234">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Η παρακολούθηση του κινδύνου ρευστότητας επικεντρώνεται στη διαχείριση του χρονικού συσχετισμού των ταμειακών ροών και  στην εξασφάλιση επαρκών  ταμειακών διαθεσίμων για την κάλυψη των τρεχουσών συναλλαγών.</w:t>
      </w:r>
    </w:p>
    <w:p w:rsidR="004E7897" w:rsidRPr="00485A4C" w:rsidRDefault="00E12234" w:rsidP="00E12234">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Η εταιρική διαχείριση του κινδύνου ρευστότητας βασίζεται στη σωστή διαχείριση του κεφαλαίου κίνησης και των ταμειακών ροών. Λόγω της δυναμικής φύσης της επιχειρηματικής δραστηριότητας, η Διοίκηση στοχεύει να διατηρήσει ελαστικότητα </w:t>
      </w:r>
      <w:r w:rsidRPr="00485A4C">
        <w:rPr>
          <w:rFonts w:ascii="Tahoma" w:hAnsi="Tahoma" w:cs="Tahoma"/>
          <w:sz w:val="22"/>
          <w:szCs w:val="22"/>
        </w:rPr>
        <w:lastRenderedPageBreak/>
        <w:t>στην άντληση κεφαλαίων, διατηρώντας επαρκή ταμειακά διαθέσιμα και ανοιχτές πιστώσεις με αλληλόχρεους λογαριασμούς</w:t>
      </w:r>
      <w:r w:rsidR="004E7897" w:rsidRPr="00485A4C">
        <w:rPr>
          <w:rFonts w:ascii="Tahoma" w:hAnsi="Tahoma" w:cs="Tahoma"/>
          <w:sz w:val="22"/>
          <w:szCs w:val="22"/>
        </w:rPr>
        <w:t>.</w:t>
      </w:r>
    </w:p>
    <w:p w:rsidR="00E12234" w:rsidRPr="00485A4C" w:rsidRDefault="00E12234" w:rsidP="00E12234">
      <w:pPr>
        <w:autoSpaceDE w:val="0"/>
        <w:autoSpaceDN w:val="0"/>
        <w:adjustRightInd w:val="0"/>
        <w:spacing w:line="360" w:lineRule="auto"/>
        <w:ind w:left="-540"/>
        <w:jc w:val="both"/>
        <w:rPr>
          <w:rFonts w:ascii="Tahoma" w:hAnsi="Tahoma" w:cs="Tahoma"/>
          <w:sz w:val="22"/>
          <w:szCs w:val="22"/>
          <w:highlight w:val="yellow"/>
        </w:rPr>
      </w:pPr>
      <w:r w:rsidRPr="00485A4C">
        <w:rPr>
          <w:rFonts w:ascii="Tahoma" w:hAnsi="Tahoma" w:cs="Tahoma"/>
          <w:sz w:val="22"/>
          <w:szCs w:val="22"/>
          <w:highlight w:val="yellow"/>
        </w:rPr>
        <w:t xml:space="preserve"> </w:t>
      </w:r>
    </w:p>
    <w:p w:rsidR="00044AE5" w:rsidRPr="00485A4C" w:rsidRDefault="00644454" w:rsidP="004762D0">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Από τις 28 Ιουνίου 2015 μέχρι τις 20 Ιουλίου 2015, με Πράξεις Νομοθετικού Περιεχομένου οι Ελληνικές τράπεζες αρχικά τέθηκαν σε αργία ενώ ταυτόχρονα επιβλήθηκαν έλεγχοι στη κίνηση κεφαλαίων (capital controls). Σήμερα οι Ελληνικές τράπεζες λειτουργούν κανονικά αλλά παραμένουν σε ισχύ, έστω και με διαφοροποιήσεις, οι περιορισμοί στην κίνηση των κεφαλαίων. Η ταμιακή διαχείριση στην εταιρεία, στο πλαίσιο της διαφοροποίησης του κινδύνου ρευστότητας, έχει προετοιμαστεί κατάλληλα ώστε να αντιμετωπίσει κατά το δυνατόν επιπτώσεις από την επιβολή περιορισμού κεφαλαίων στην εγχώρια αγορά.</w:t>
      </w:r>
    </w:p>
    <w:p w:rsidR="00044AE5" w:rsidRPr="00485A4C" w:rsidRDefault="00044AE5" w:rsidP="004762D0">
      <w:pPr>
        <w:autoSpaceDE w:val="0"/>
        <w:autoSpaceDN w:val="0"/>
        <w:adjustRightInd w:val="0"/>
        <w:spacing w:line="360" w:lineRule="auto"/>
        <w:ind w:left="-540"/>
        <w:jc w:val="both"/>
        <w:rPr>
          <w:rFonts w:ascii="Tahoma" w:hAnsi="Tahoma" w:cs="Tahoma"/>
          <w:sz w:val="22"/>
          <w:szCs w:val="22"/>
        </w:rPr>
      </w:pPr>
    </w:p>
    <w:p w:rsidR="003E1504" w:rsidRPr="00485A4C" w:rsidRDefault="003E1504" w:rsidP="004762D0">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w:t>
      </w:r>
      <w:r w:rsidR="00831721" w:rsidRPr="00485A4C">
        <w:rPr>
          <w:rFonts w:ascii="Tahoma" w:hAnsi="Tahoma" w:cs="Tahoma"/>
          <w:sz w:val="22"/>
          <w:szCs w:val="22"/>
        </w:rPr>
        <w:t>ι</w:t>
      </w:r>
      <w:r w:rsidRPr="00485A4C">
        <w:rPr>
          <w:rFonts w:ascii="Tahoma" w:hAnsi="Tahoma" w:cs="Tahoma"/>
          <w:sz w:val="22"/>
          <w:szCs w:val="22"/>
        </w:rPr>
        <w:t xml:space="preserve"> παρακάτω</w:t>
      </w:r>
      <w:r w:rsidR="00831721" w:rsidRPr="00485A4C">
        <w:rPr>
          <w:rFonts w:ascii="Tahoma" w:hAnsi="Tahoma" w:cs="Tahoma"/>
          <w:sz w:val="22"/>
          <w:szCs w:val="22"/>
        </w:rPr>
        <w:t xml:space="preserve"> πίνακες περιλαμβάνουν την </w:t>
      </w:r>
      <w:r w:rsidR="00BE184F" w:rsidRPr="00485A4C">
        <w:rPr>
          <w:rFonts w:ascii="Tahoma" w:hAnsi="Tahoma" w:cs="Tahoma"/>
          <w:sz w:val="22"/>
          <w:szCs w:val="22"/>
        </w:rPr>
        <w:t>ενηλικίωση</w:t>
      </w:r>
      <w:r w:rsidR="00831721" w:rsidRPr="00485A4C">
        <w:rPr>
          <w:rFonts w:ascii="Tahoma" w:hAnsi="Tahoma" w:cs="Tahoma"/>
          <w:sz w:val="22"/>
          <w:szCs w:val="22"/>
        </w:rPr>
        <w:t xml:space="preserve"> των απαιτήσεων και υποχρεώσεων της εταιρείας:</w:t>
      </w:r>
    </w:p>
    <w:p w:rsidR="00044AE5" w:rsidRPr="00485A4C" w:rsidRDefault="00044AE5" w:rsidP="004762D0">
      <w:pPr>
        <w:autoSpaceDE w:val="0"/>
        <w:autoSpaceDN w:val="0"/>
        <w:adjustRightInd w:val="0"/>
        <w:spacing w:line="360" w:lineRule="auto"/>
        <w:ind w:left="-540"/>
        <w:jc w:val="both"/>
        <w:rPr>
          <w:rFonts w:ascii="Tahoma" w:hAnsi="Tahoma" w:cs="Tahoma"/>
          <w:b/>
          <w:sz w:val="22"/>
          <w:szCs w:val="22"/>
          <w:highlight w:val="red"/>
        </w:rPr>
      </w:pPr>
    </w:p>
    <w:tbl>
      <w:tblPr>
        <w:tblW w:w="7300" w:type="dxa"/>
        <w:tblLook w:val="04A0" w:firstRow="1" w:lastRow="0" w:firstColumn="1" w:lastColumn="0" w:noHBand="0" w:noVBand="1"/>
      </w:tblPr>
      <w:tblGrid>
        <w:gridCol w:w="4328"/>
        <w:gridCol w:w="1456"/>
        <w:gridCol w:w="1516"/>
      </w:tblGrid>
      <w:tr w:rsidR="000F032F" w:rsidTr="000F032F">
        <w:trPr>
          <w:trHeight w:val="456"/>
        </w:trPr>
        <w:tc>
          <w:tcPr>
            <w:tcW w:w="4328" w:type="dxa"/>
            <w:tcBorders>
              <w:top w:val="nil"/>
              <w:left w:val="nil"/>
              <w:bottom w:val="single" w:sz="4" w:space="0" w:color="auto"/>
              <w:right w:val="nil"/>
            </w:tcBorders>
            <w:shd w:val="clear" w:color="000000" w:fill="EEECE1"/>
            <w:hideMark/>
          </w:tcPr>
          <w:p w:rsidR="000F032F" w:rsidRDefault="000F032F">
            <w:pPr>
              <w:jc w:val="both"/>
              <w:rPr>
                <w:rFonts w:ascii="Tahoma" w:hAnsi="Tahoma" w:cs="Tahoma"/>
                <w:b/>
                <w:bCs/>
                <w:color w:val="000000"/>
                <w:sz w:val="18"/>
                <w:szCs w:val="18"/>
              </w:rPr>
            </w:pPr>
            <w:r>
              <w:rPr>
                <w:rFonts w:ascii="Tahoma" w:hAnsi="Tahoma" w:cs="Tahoma"/>
                <w:b/>
                <w:bCs/>
                <w:color w:val="000000"/>
                <w:sz w:val="18"/>
                <w:szCs w:val="18"/>
              </w:rPr>
              <w:t>Χρηματοοικονομικά περιουσιακά στοιχεία και υποχρεώσεις</w:t>
            </w:r>
          </w:p>
        </w:tc>
        <w:tc>
          <w:tcPr>
            <w:tcW w:w="1456" w:type="dxa"/>
            <w:tcBorders>
              <w:top w:val="nil"/>
              <w:left w:val="nil"/>
              <w:bottom w:val="single" w:sz="4" w:space="0" w:color="auto"/>
              <w:right w:val="nil"/>
            </w:tcBorders>
            <w:shd w:val="clear" w:color="000000" w:fill="EEECE1"/>
            <w:noWrap/>
            <w:vAlign w:val="center"/>
            <w:hideMark/>
          </w:tcPr>
          <w:p w:rsidR="000F032F" w:rsidRDefault="000F032F">
            <w:pPr>
              <w:jc w:val="center"/>
              <w:rPr>
                <w:rFonts w:ascii="Tahoma" w:hAnsi="Tahoma" w:cs="Tahoma"/>
                <w:b/>
                <w:bCs/>
                <w:sz w:val="18"/>
                <w:szCs w:val="18"/>
              </w:rPr>
            </w:pPr>
            <w:r>
              <w:rPr>
                <w:rFonts w:ascii="Tahoma" w:hAnsi="Tahoma" w:cs="Tahoma"/>
                <w:b/>
                <w:bCs/>
                <w:sz w:val="18"/>
                <w:szCs w:val="18"/>
              </w:rPr>
              <w:t>31.12.2018</w:t>
            </w:r>
          </w:p>
        </w:tc>
        <w:tc>
          <w:tcPr>
            <w:tcW w:w="1516" w:type="dxa"/>
            <w:tcBorders>
              <w:top w:val="nil"/>
              <w:left w:val="nil"/>
              <w:bottom w:val="single" w:sz="4" w:space="0" w:color="auto"/>
              <w:right w:val="nil"/>
            </w:tcBorders>
            <w:shd w:val="clear" w:color="000000" w:fill="EEECE1"/>
            <w:noWrap/>
            <w:vAlign w:val="center"/>
            <w:hideMark/>
          </w:tcPr>
          <w:p w:rsidR="000F032F" w:rsidRDefault="000F032F">
            <w:pPr>
              <w:jc w:val="center"/>
              <w:rPr>
                <w:rFonts w:ascii="Tahoma" w:hAnsi="Tahoma" w:cs="Tahoma"/>
                <w:b/>
                <w:bCs/>
                <w:sz w:val="18"/>
                <w:szCs w:val="18"/>
              </w:rPr>
            </w:pPr>
            <w:r>
              <w:rPr>
                <w:rFonts w:ascii="Tahoma" w:hAnsi="Tahoma" w:cs="Tahoma"/>
                <w:b/>
                <w:bCs/>
                <w:sz w:val="18"/>
                <w:szCs w:val="18"/>
              </w:rPr>
              <w:t>31.12.2017</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u w:val="single"/>
              </w:rPr>
            </w:pPr>
            <w:r>
              <w:rPr>
                <w:rFonts w:ascii="Tahoma" w:hAnsi="Tahoma" w:cs="Tahoma"/>
                <w:color w:val="000000"/>
                <w:sz w:val="18"/>
                <w:szCs w:val="18"/>
                <w:u w:val="single"/>
              </w:rPr>
              <w:t>Πελάτες και λοιπές εμπορικές απαιτήσεις</w:t>
            </w:r>
          </w:p>
        </w:tc>
        <w:tc>
          <w:tcPr>
            <w:tcW w:w="1456" w:type="dxa"/>
            <w:tcBorders>
              <w:top w:val="nil"/>
              <w:left w:val="nil"/>
              <w:bottom w:val="nil"/>
              <w:right w:val="nil"/>
            </w:tcBorders>
            <w:shd w:val="clear" w:color="auto" w:fill="auto"/>
            <w:noWrap/>
            <w:vAlign w:val="bottom"/>
            <w:hideMark/>
          </w:tcPr>
          <w:p w:rsidR="000F032F" w:rsidRDefault="000F032F">
            <w:pPr>
              <w:jc w:val="both"/>
              <w:rPr>
                <w:rFonts w:ascii="Tahoma" w:hAnsi="Tahoma" w:cs="Tahoma"/>
                <w:color w:val="000000"/>
                <w:sz w:val="18"/>
                <w:szCs w:val="18"/>
                <w:u w:val="single"/>
              </w:rPr>
            </w:pPr>
          </w:p>
        </w:tc>
        <w:tc>
          <w:tcPr>
            <w:tcW w:w="1516"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t>Εισπρακτέες από 1 έως 6 μήνες</w:t>
            </w:r>
          </w:p>
        </w:tc>
        <w:tc>
          <w:tcPr>
            <w:tcW w:w="145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849.721,67</w:t>
            </w:r>
          </w:p>
        </w:tc>
        <w:tc>
          <w:tcPr>
            <w:tcW w:w="151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1.130.070,68</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t>Εισπρακτέες από 6 μήνες έως 1 έτος</w:t>
            </w:r>
          </w:p>
        </w:tc>
        <w:tc>
          <w:tcPr>
            <w:tcW w:w="145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c>
          <w:tcPr>
            <w:tcW w:w="151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t>Εισπρακτέες μετά από 1 έτος</w:t>
            </w:r>
          </w:p>
        </w:tc>
        <w:tc>
          <w:tcPr>
            <w:tcW w:w="1456" w:type="dxa"/>
            <w:tcBorders>
              <w:top w:val="nil"/>
              <w:left w:val="nil"/>
              <w:bottom w:val="single" w:sz="4"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c>
          <w:tcPr>
            <w:tcW w:w="1516" w:type="dxa"/>
            <w:tcBorders>
              <w:top w:val="nil"/>
              <w:left w:val="nil"/>
              <w:bottom w:val="single" w:sz="4"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p>
        </w:tc>
        <w:tc>
          <w:tcPr>
            <w:tcW w:w="1456" w:type="dxa"/>
            <w:tcBorders>
              <w:top w:val="nil"/>
              <w:left w:val="nil"/>
              <w:bottom w:val="double" w:sz="6"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849.721,67</w:t>
            </w:r>
          </w:p>
        </w:tc>
        <w:tc>
          <w:tcPr>
            <w:tcW w:w="1516" w:type="dxa"/>
            <w:tcBorders>
              <w:top w:val="nil"/>
              <w:left w:val="nil"/>
              <w:bottom w:val="double" w:sz="6"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1.130.070,68</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u w:val="single"/>
              </w:rPr>
            </w:pPr>
            <w:r>
              <w:rPr>
                <w:rFonts w:ascii="Tahoma" w:hAnsi="Tahoma" w:cs="Tahoma"/>
                <w:color w:val="000000"/>
                <w:sz w:val="18"/>
                <w:szCs w:val="18"/>
                <w:u w:val="single"/>
              </w:rPr>
              <w:t>Λοιπές απαιτήσεις</w:t>
            </w:r>
          </w:p>
        </w:tc>
        <w:tc>
          <w:tcPr>
            <w:tcW w:w="1456" w:type="dxa"/>
            <w:tcBorders>
              <w:top w:val="nil"/>
              <w:left w:val="nil"/>
              <w:bottom w:val="nil"/>
              <w:right w:val="nil"/>
            </w:tcBorders>
            <w:shd w:val="clear" w:color="auto" w:fill="auto"/>
            <w:noWrap/>
            <w:vAlign w:val="bottom"/>
            <w:hideMark/>
          </w:tcPr>
          <w:p w:rsidR="000F032F" w:rsidRDefault="000F032F">
            <w:pPr>
              <w:jc w:val="both"/>
              <w:rPr>
                <w:rFonts w:ascii="Tahoma" w:hAnsi="Tahoma" w:cs="Tahoma"/>
                <w:color w:val="000000"/>
                <w:sz w:val="18"/>
                <w:szCs w:val="18"/>
                <w:u w:val="single"/>
              </w:rPr>
            </w:pPr>
          </w:p>
        </w:tc>
        <w:tc>
          <w:tcPr>
            <w:tcW w:w="1516"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t>Εισπρακτέες από 1 έως 6 μήνες</w:t>
            </w:r>
          </w:p>
        </w:tc>
        <w:tc>
          <w:tcPr>
            <w:tcW w:w="145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286.919,21</w:t>
            </w:r>
          </w:p>
        </w:tc>
        <w:tc>
          <w:tcPr>
            <w:tcW w:w="151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179.528,51</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t>Εισπρακτέες από 6 μήνες και μετά</w:t>
            </w:r>
          </w:p>
        </w:tc>
        <w:tc>
          <w:tcPr>
            <w:tcW w:w="145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c>
          <w:tcPr>
            <w:tcW w:w="151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t>Εισπρακτέες μετά από 1 έτος</w:t>
            </w:r>
          </w:p>
        </w:tc>
        <w:tc>
          <w:tcPr>
            <w:tcW w:w="1456" w:type="dxa"/>
            <w:tcBorders>
              <w:top w:val="nil"/>
              <w:left w:val="nil"/>
              <w:bottom w:val="single" w:sz="4"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7.405,00</w:t>
            </w:r>
          </w:p>
        </w:tc>
        <w:tc>
          <w:tcPr>
            <w:tcW w:w="1516" w:type="dxa"/>
            <w:tcBorders>
              <w:top w:val="nil"/>
              <w:left w:val="nil"/>
              <w:bottom w:val="single" w:sz="4"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7.405,00</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p>
        </w:tc>
        <w:tc>
          <w:tcPr>
            <w:tcW w:w="1456" w:type="dxa"/>
            <w:tcBorders>
              <w:top w:val="nil"/>
              <w:left w:val="nil"/>
              <w:bottom w:val="double" w:sz="6"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294.324,21</w:t>
            </w:r>
          </w:p>
        </w:tc>
        <w:tc>
          <w:tcPr>
            <w:tcW w:w="1516" w:type="dxa"/>
            <w:tcBorders>
              <w:top w:val="nil"/>
              <w:left w:val="nil"/>
              <w:bottom w:val="double" w:sz="6"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186.933,51</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t>Πλέον</w:t>
            </w:r>
          </w:p>
        </w:tc>
        <w:tc>
          <w:tcPr>
            <w:tcW w:w="1456" w:type="dxa"/>
            <w:tcBorders>
              <w:top w:val="nil"/>
              <w:left w:val="nil"/>
              <w:bottom w:val="nil"/>
              <w:right w:val="nil"/>
            </w:tcBorders>
            <w:shd w:val="clear" w:color="auto" w:fill="auto"/>
            <w:noWrap/>
            <w:vAlign w:val="bottom"/>
            <w:hideMark/>
          </w:tcPr>
          <w:p w:rsidR="000F032F" w:rsidRDefault="000F032F">
            <w:pPr>
              <w:jc w:val="both"/>
              <w:rPr>
                <w:rFonts w:ascii="Tahoma" w:hAnsi="Tahoma" w:cs="Tahoma"/>
                <w:color w:val="000000"/>
                <w:sz w:val="18"/>
                <w:szCs w:val="18"/>
              </w:rPr>
            </w:pPr>
          </w:p>
        </w:tc>
        <w:tc>
          <w:tcPr>
            <w:tcW w:w="1516"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u w:val="single"/>
              </w:rPr>
            </w:pPr>
            <w:r>
              <w:rPr>
                <w:rFonts w:ascii="Tahoma" w:hAnsi="Tahoma" w:cs="Tahoma"/>
                <w:color w:val="000000"/>
                <w:sz w:val="18"/>
                <w:szCs w:val="18"/>
                <w:u w:val="single"/>
              </w:rPr>
              <w:t>Ταμιακά διαθέσιμα και ισοδύναμα</w:t>
            </w:r>
          </w:p>
        </w:tc>
        <w:tc>
          <w:tcPr>
            <w:tcW w:w="1456" w:type="dxa"/>
            <w:tcBorders>
              <w:top w:val="nil"/>
              <w:left w:val="nil"/>
              <w:bottom w:val="double" w:sz="6"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1.110.951,55</w:t>
            </w:r>
          </w:p>
        </w:tc>
        <w:tc>
          <w:tcPr>
            <w:tcW w:w="1516" w:type="dxa"/>
            <w:tcBorders>
              <w:top w:val="nil"/>
              <w:left w:val="nil"/>
              <w:bottom w:val="double" w:sz="6"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867.468,74</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p>
        </w:tc>
        <w:tc>
          <w:tcPr>
            <w:tcW w:w="1456" w:type="dxa"/>
            <w:tcBorders>
              <w:top w:val="nil"/>
              <w:left w:val="nil"/>
              <w:bottom w:val="nil"/>
              <w:right w:val="nil"/>
            </w:tcBorders>
            <w:shd w:val="clear" w:color="auto" w:fill="auto"/>
            <w:noWrap/>
            <w:vAlign w:val="bottom"/>
            <w:hideMark/>
          </w:tcPr>
          <w:p w:rsidR="000F032F" w:rsidRDefault="000F032F">
            <w:pPr>
              <w:rPr>
                <w:sz w:val="20"/>
                <w:szCs w:val="20"/>
              </w:rPr>
            </w:pPr>
          </w:p>
        </w:tc>
        <w:tc>
          <w:tcPr>
            <w:tcW w:w="1516"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u w:val="single"/>
              </w:rPr>
            </w:pPr>
            <w:r>
              <w:rPr>
                <w:rFonts w:ascii="Tahoma" w:hAnsi="Tahoma" w:cs="Tahoma"/>
                <w:color w:val="000000"/>
                <w:sz w:val="18"/>
                <w:szCs w:val="18"/>
                <w:u w:val="single"/>
              </w:rPr>
              <w:t xml:space="preserve">Προμηθευτές και λοιπές υποχρεώσεις </w:t>
            </w:r>
          </w:p>
        </w:tc>
        <w:tc>
          <w:tcPr>
            <w:tcW w:w="1456" w:type="dxa"/>
            <w:tcBorders>
              <w:top w:val="nil"/>
              <w:left w:val="nil"/>
              <w:bottom w:val="nil"/>
              <w:right w:val="nil"/>
            </w:tcBorders>
            <w:shd w:val="clear" w:color="auto" w:fill="auto"/>
            <w:noWrap/>
            <w:vAlign w:val="bottom"/>
            <w:hideMark/>
          </w:tcPr>
          <w:p w:rsidR="000F032F" w:rsidRDefault="000F032F">
            <w:pPr>
              <w:jc w:val="both"/>
              <w:rPr>
                <w:rFonts w:ascii="Tahoma" w:hAnsi="Tahoma" w:cs="Tahoma"/>
                <w:color w:val="000000"/>
                <w:sz w:val="18"/>
                <w:szCs w:val="18"/>
                <w:u w:val="single"/>
              </w:rPr>
            </w:pPr>
          </w:p>
        </w:tc>
        <w:tc>
          <w:tcPr>
            <w:tcW w:w="1516"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t>Πληρωτέες από 1 έως 6 μήνες</w:t>
            </w:r>
          </w:p>
        </w:tc>
        <w:tc>
          <w:tcPr>
            <w:tcW w:w="145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643.671,50</w:t>
            </w:r>
          </w:p>
        </w:tc>
        <w:tc>
          <w:tcPr>
            <w:tcW w:w="151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832.956,98</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t>Πληρωτέες από 6 μήνες έως 1 έτος</w:t>
            </w:r>
          </w:p>
        </w:tc>
        <w:tc>
          <w:tcPr>
            <w:tcW w:w="145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c>
          <w:tcPr>
            <w:tcW w:w="151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t>Πληρωτέες μετά από 1 έτος</w:t>
            </w:r>
          </w:p>
        </w:tc>
        <w:tc>
          <w:tcPr>
            <w:tcW w:w="1456" w:type="dxa"/>
            <w:tcBorders>
              <w:top w:val="nil"/>
              <w:left w:val="nil"/>
              <w:bottom w:val="single" w:sz="4"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c>
          <w:tcPr>
            <w:tcW w:w="1516" w:type="dxa"/>
            <w:tcBorders>
              <w:top w:val="nil"/>
              <w:left w:val="nil"/>
              <w:bottom w:val="single" w:sz="4"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p>
        </w:tc>
        <w:tc>
          <w:tcPr>
            <w:tcW w:w="1456" w:type="dxa"/>
            <w:tcBorders>
              <w:top w:val="nil"/>
              <w:left w:val="nil"/>
              <w:bottom w:val="double" w:sz="6"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643.671,50</w:t>
            </w:r>
          </w:p>
        </w:tc>
        <w:tc>
          <w:tcPr>
            <w:tcW w:w="1516" w:type="dxa"/>
            <w:tcBorders>
              <w:top w:val="nil"/>
              <w:left w:val="nil"/>
              <w:bottom w:val="double" w:sz="6"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832.956,98</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u w:val="single"/>
              </w:rPr>
            </w:pPr>
            <w:r>
              <w:rPr>
                <w:rFonts w:ascii="Tahoma" w:hAnsi="Tahoma" w:cs="Tahoma"/>
                <w:color w:val="000000"/>
                <w:sz w:val="18"/>
                <w:szCs w:val="18"/>
                <w:u w:val="single"/>
              </w:rPr>
              <w:t>Φόρος εισοδήματος πληρωτέος</w:t>
            </w:r>
          </w:p>
        </w:tc>
        <w:tc>
          <w:tcPr>
            <w:tcW w:w="1456" w:type="dxa"/>
            <w:tcBorders>
              <w:top w:val="nil"/>
              <w:left w:val="nil"/>
              <w:bottom w:val="nil"/>
              <w:right w:val="nil"/>
            </w:tcBorders>
            <w:shd w:val="clear" w:color="auto" w:fill="auto"/>
            <w:noWrap/>
            <w:vAlign w:val="bottom"/>
            <w:hideMark/>
          </w:tcPr>
          <w:p w:rsidR="000F032F" w:rsidRDefault="000F032F">
            <w:pPr>
              <w:jc w:val="both"/>
              <w:rPr>
                <w:rFonts w:ascii="Tahoma" w:hAnsi="Tahoma" w:cs="Tahoma"/>
                <w:color w:val="000000"/>
                <w:sz w:val="18"/>
                <w:szCs w:val="18"/>
                <w:u w:val="single"/>
              </w:rPr>
            </w:pPr>
          </w:p>
        </w:tc>
        <w:tc>
          <w:tcPr>
            <w:tcW w:w="1516"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t>Πληρωτέος από 1 έως 6 μήνες</w:t>
            </w:r>
          </w:p>
        </w:tc>
        <w:tc>
          <w:tcPr>
            <w:tcW w:w="145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c>
          <w:tcPr>
            <w:tcW w:w="151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t>Πληρωτέος από 6 μήνες έως 1 έτος</w:t>
            </w:r>
          </w:p>
        </w:tc>
        <w:tc>
          <w:tcPr>
            <w:tcW w:w="145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c>
          <w:tcPr>
            <w:tcW w:w="1516" w:type="dxa"/>
            <w:tcBorders>
              <w:top w:val="nil"/>
              <w:left w:val="nil"/>
              <w:bottom w:val="nil"/>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r>
      <w:tr w:rsidR="000F032F" w:rsidTr="000F032F">
        <w:trPr>
          <w:trHeight w:val="360"/>
        </w:trPr>
        <w:tc>
          <w:tcPr>
            <w:tcW w:w="4328" w:type="dxa"/>
            <w:tcBorders>
              <w:top w:val="nil"/>
              <w:left w:val="nil"/>
              <w:bottom w:val="nil"/>
              <w:right w:val="nil"/>
            </w:tcBorders>
            <w:shd w:val="clear" w:color="auto" w:fill="auto"/>
            <w:hideMark/>
          </w:tcPr>
          <w:p w:rsidR="000F032F" w:rsidRDefault="000F032F">
            <w:pPr>
              <w:jc w:val="both"/>
              <w:rPr>
                <w:rFonts w:ascii="Tahoma" w:hAnsi="Tahoma" w:cs="Tahoma"/>
                <w:color w:val="000000"/>
                <w:sz w:val="18"/>
                <w:szCs w:val="18"/>
              </w:rPr>
            </w:pPr>
            <w:r>
              <w:rPr>
                <w:rFonts w:ascii="Tahoma" w:hAnsi="Tahoma" w:cs="Tahoma"/>
                <w:color w:val="000000"/>
                <w:sz w:val="18"/>
                <w:szCs w:val="18"/>
              </w:rPr>
              <w:lastRenderedPageBreak/>
              <w:t>Πληρωτέος μετά από 1 έτος</w:t>
            </w:r>
          </w:p>
        </w:tc>
        <w:tc>
          <w:tcPr>
            <w:tcW w:w="1456" w:type="dxa"/>
            <w:tcBorders>
              <w:top w:val="nil"/>
              <w:left w:val="nil"/>
              <w:bottom w:val="single" w:sz="4"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c>
          <w:tcPr>
            <w:tcW w:w="1516" w:type="dxa"/>
            <w:tcBorders>
              <w:top w:val="nil"/>
              <w:left w:val="nil"/>
              <w:bottom w:val="single" w:sz="4"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r>
      <w:tr w:rsidR="000F032F" w:rsidTr="000F032F">
        <w:trPr>
          <w:trHeight w:val="360"/>
        </w:trPr>
        <w:tc>
          <w:tcPr>
            <w:tcW w:w="4328" w:type="dxa"/>
            <w:tcBorders>
              <w:top w:val="nil"/>
              <w:left w:val="nil"/>
              <w:bottom w:val="nil"/>
              <w:right w:val="nil"/>
            </w:tcBorders>
            <w:shd w:val="clear" w:color="auto" w:fill="auto"/>
            <w:noWrap/>
            <w:vAlign w:val="bottom"/>
            <w:hideMark/>
          </w:tcPr>
          <w:p w:rsidR="000F032F" w:rsidRDefault="000F032F">
            <w:pPr>
              <w:jc w:val="right"/>
              <w:rPr>
                <w:rFonts w:ascii="Tahoma" w:hAnsi="Tahoma" w:cs="Tahoma"/>
                <w:color w:val="000000"/>
                <w:sz w:val="18"/>
                <w:szCs w:val="18"/>
              </w:rPr>
            </w:pPr>
          </w:p>
        </w:tc>
        <w:tc>
          <w:tcPr>
            <w:tcW w:w="1456" w:type="dxa"/>
            <w:tcBorders>
              <w:top w:val="nil"/>
              <w:left w:val="nil"/>
              <w:bottom w:val="double" w:sz="6"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c>
          <w:tcPr>
            <w:tcW w:w="1516" w:type="dxa"/>
            <w:tcBorders>
              <w:top w:val="nil"/>
              <w:left w:val="nil"/>
              <w:bottom w:val="double" w:sz="6" w:space="0" w:color="auto"/>
              <w:right w:val="nil"/>
            </w:tcBorders>
            <w:shd w:val="clear" w:color="auto" w:fill="auto"/>
            <w:hideMark/>
          </w:tcPr>
          <w:p w:rsidR="000F032F" w:rsidRDefault="000F032F">
            <w:pPr>
              <w:jc w:val="right"/>
              <w:rPr>
                <w:rFonts w:ascii="Tahoma" w:hAnsi="Tahoma" w:cs="Tahoma"/>
                <w:color w:val="000000"/>
                <w:sz w:val="18"/>
                <w:szCs w:val="18"/>
              </w:rPr>
            </w:pPr>
            <w:r>
              <w:rPr>
                <w:rFonts w:ascii="Tahoma" w:hAnsi="Tahoma" w:cs="Tahoma"/>
                <w:color w:val="000000"/>
                <w:sz w:val="18"/>
                <w:szCs w:val="18"/>
              </w:rPr>
              <w:t>0,00</w:t>
            </w:r>
          </w:p>
        </w:tc>
      </w:tr>
    </w:tbl>
    <w:p w:rsidR="00EC3081" w:rsidRDefault="00EC3081" w:rsidP="004762D0">
      <w:pPr>
        <w:autoSpaceDE w:val="0"/>
        <w:autoSpaceDN w:val="0"/>
        <w:adjustRightInd w:val="0"/>
        <w:spacing w:line="360" w:lineRule="auto"/>
        <w:ind w:left="-540"/>
        <w:jc w:val="both"/>
        <w:rPr>
          <w:rFonts w:ascii="Tahoma" w:hAnsi="Tahoma" w:cs="Tahoma"/>
          <w:b/>
          <w:sz w:val="22"/>
          <w:szCs w:val="22"/>
        </w:rPr>
      </w:pPr>
    </w:p>
    <w:p w:rsidR="0069500F" w:rsidRPr="00485A4C" w:rsidRDefault="0069500F" w:rsidP="000F032F">
      <w:pPr>
        <w:autoSpaceDE w:val="0"/>
        <w:autoSpaceDN w:val="0"/>
        <w:adjustRightInd w:val="0"/>
        <w:spacing w:line="360" w:lineRule="auto"/>
        <w:jc w:val="both"/>
        <w:rPr>
          <w:rFonts w:ascii="Tahoma" w:hAnsi="Tahoma" w:cs="Tahoma"/>
          <w:b/>
          <w:sz w:val="22"/>
          <w:szCs w:val="22"/>
          <w:lang w:val="en-US"/>
        </w:rPr>
      </w:pPr>
    </w:p>
    <w:p w:rsidR="00E12234" w:rsidRPr="00485A4C" w:rsidRDefault="00644454" w:rsidP="00E12234">
      <w:pPr>
        <w:autoSpaceDE w:val="0"/>
        <w:autoSpaceDN w:val="0"/>
        <w:adjustRightInd w:val="0"/>
        <w:spacing w:line="360" w:lineRule="auto"/>
        <w:ind w:left="-540"/>
        <w:jc w:val="both"/>
        <w:rPr>
          <w:rFonts w:ascii="Tahoma" w:hAnsi="Tahoma" w:cs="Tahoma"/>
          <w:sz w:val="22"/>
          <w:szCs w:val="22"/>
          <w:u w:val="single"/>
        </w:rPr>
      </w:pPr>
      <w:r w:rsidRPr="00485A4C">
        <w:rPr>
          <w:rFonts w:ascii="Tahoma" w:hAnsi="Tahoma" w:cs="Tahoma"/>
          <w:sz w:val="22"/>
          <w:szCs w:val="22"/>
          <w:u w:val="single"/>
        </w:rPr>
        <w:t>δ</w:t>
      </w:r>
      <w:r w:rsidR="00E12234" w:rsidRPr="00485A4C">
        <w:rPr>
          <w:rFonts w:ascii="Tahoma" w:hAnsi="Tahoma" w:cs="Tahoma"/>
          <w:sz w:val="22"/>
          <w:szCs w:val="22"/>
          <w:u w:val="single"/>
        </w:rPr>
        <w:t>) Διαχείριση κεφαλαιουχικού κινδύνου</w:t>
      </w:r>
    </w:p>
    <w:p w:rsidR="00E12234" w:rsidRPr="00485A4C" w:rsidRDefault="00E12234" w:rsidP="00E12234">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Ο σκοπός της διαχείρισης του κεφαλαιουχικού κινδύνου είναι η εξασφάλιση της συνεχιζόμενης δραστηριότητας </w:t>
      </w:r>
      <w:r w:rsidR="00644454" w:rsidRPr="00485A4C">
        <w:rPr>
          <w:rFonts w:ascii="Tahoma" w:hAnsi="Tahoma" w:cs="Tahoma"/>
          <w:sz w:val="22"/>
          <w:szCs w:val="22"/>
        </w:rPr>
        <w:t>της εταιρείας</w:t>
      </w:r>
      <w:r w:rsidRPr="00485A4C">
        <w:rPr>
          <w:rFonts w:ascii="Tahoma" w:hAnsi="Tahoma" w:cs="Tahoma"/>
          <w:sz w:val="22"/>
          <w:szCs w:val="22"/>
        </w:rPr>
        <w:t xml:space="preserve"> (going concern) για να υπάρχουν ικανοποιητικές αποδόσεις για τους μετόχους, να διατηρηθεί μια ιδανική κεφαλαιουχική δομή και για να μειωθεί το κόστος κεφαλαίου.</w:t>
      </w:r>
    </w:p>
    <w:p w:rsidR="00E12234" w:rsidRPr="00485A4C" w:rsidRDefault="00E12234" w:rsidP="00E12234">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Η διατήρηση ή προσαρμογή της κεφαλαιουχικής δομής,  μπορεί να γίνει μέσω της προσαρμογής του ποσού των μερισμάτων που πληρώνονται στους μετόχους, της επιστροφής μετοχικού κεφαλαίου ή της έκδοσης νέων μετοχών. </w:t>
      </w:r>
    </w:p>
    <w:p w:rsidR="004762D0" w:rsidRPr="00485A4C" w:rsidRDefault="004762D0" w:rsidP="004762D0">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Οι συντελεστές μόχλευσης την 3</w:t>
      </w:r>
      <w:r w:rsidR="00E12234" w:rsidRPr="00485A4C">
        <w:rPr>
          <w:rFonts w:ascii="Tahoma" w:hAnsi="Tahoma" w:cs="Tahoma"/>
          <w:sz w:val="22"/>
          <w:szCs w:val="22"/>
        </w:rPr>
        <w:t>1.12.</w:t>
      </w:r>
      <w:r w:rsidRPr="00485A4C">
        <w:rPr>
          <w:rFonts w:ascii="Tahoma" w:hAnsi="Tahoma" w:cs="Tahoma"/>
          <w:sz w:val="22"/>
          <w:szCs w:val="22"/>
        </w:rPr>
        <w:t>20</w:t>
      </w:r>
      <w:r w:rsidR="003F28A9" w:rsidRPr="00485A4C">
        <w:rPr>
          <w:rFonts w:ascii="Tahoma" w:hAnsi="Tahoma" w:cs="Tahoma"/>
          <w:sz w:val="22"/>
          <w:szCs w:val="22"/>
        </w:rPr>
        <w:t>1</w:t>
      </w:r>
      <w:r w:rsidR="000F032F">
        <w:rPr>
          <w:rFonts w:ascii="Tahoma" w:hAnsi="Tahoma" w:cs="Tahoma"/>
          <w:sz w:val="22"/>
          <w:szCs w:val="22"/>
        </w:rPr>
        <w:t>8</w:t>
      </w:r>
      <w:r w:rsidRPr="00485A4C">
        <w:rPr>
          <w:rFonts w:ascii="Tahoma" w:hAnsi="Tahoma" w:cs="Tahoma"/>
          <w:sz w:val="22"/>
          <w:szCs w:val="22"/>
        </w:rPr>
        <w:t xml:space="preserve"> και την 3</w:t>
      </w:r>
      <w:r w:rsidR="00E12234" w:rsidRPr="00485A4C">
        <w:rPr>
          <w:rFonts w:ascii="Tahoma" w:hAnsi="Tahoma" w:cs="Tahoma"/>
          <w:sz w:val="22"/>
          <w:szCs w:val="22"/>
        </w:rPr>
        <w:t>1.12.</w:t>
      </w:r>
      <w:r w:rsidRPr="00485A4C">
        <w:rPr>
          <w:rFonts w:ascii="Tahoma" w:hAnsi="Tahoma" w:cs="Tahoma"/>
          <w:sz w:val="22"/>
          <w:szCs w:val="22"/>
        </w:rPr>
        <w:t>20</w:t>
      </w:r>
      <w:r w:rsidR="00406255" w:rsidRPr="00485A4C">
        <w:rPr>
          <w:rFonts w:ascii="Tahoma" w:hAnsi="Tahoma" w:cs="Tahoma"/>
          <w:sz w:val="22"/>
          <w:szCs w:val="22"/>
        </w:rPr>
        <w:t>1</w:t>
      </w:r>
      <w:r w:rsidR="000F032F">
        <w:rPr>
          <w:rFonts w:ascii="Tahoma" w:hAnsi="Tahoma" w:cs="Tahoma"/>
          <w:sz w:val="22"/>
          <w:szCs w:val="22"/>
        </w:rPr>
        <w:t>7</w:t>
      </w:r>
      <w:r w:rsidRPr="00485A4C">
        <w:rPr>
          <w:rFonts w:ascii="Tahoma" w:hAnsi="Tahoma" w:cs="Tahoma"/>
          <w:sz w:val="22"/>
          <w:szCs w:val="22"/>
        </w:rPr>
        <w:t xml:space="preserve"> για την </w:t>
      </w:r>
      <w:r w:rsidR="00644454" w:rsidRPr="00485A4C">
        <w:rPr>
          <w:rFonts w:ascii="Tahoma" w:hAnsi="Tahoma" w:cs="Tahoma"/>
          <w:sz w:val="22"/>
          <w:szCs w:val="22"/>
        </w:rPr>
        <w:t>ε</w:t>
      </w:r>
      <w:r w:rsidRPr="00485A4C">
        <w:rPr>
          <w:rFonts w:ascii="Tahoma" w:hAnsi="Tahoma" w:cs="Tahoma"/>
          <w:sz w:val="22"/>
          <w:szCs w:val="22"/>
        </w:rPr>
        <w:t>ταιρεία έχουν ως εξής:</w:t>
      </w:r>
    </w:p>
    <w:p w:rsidR="008A6141" w:rsidRDefault="008A6141" w:rsidP="007F08BC">
      <w:pPr>
        <w:autoSpaceDE w:val="0"/>
        <w:autoSpaceDN w:val="0"/>
        <w:adjustRightInd w:val="0"/>
        <w:spacing w:line="360" w:lineRule="auto"/>
        <w:ind w:left="-142"/>
        <w:jc w:val="both"/>
        <w:rPr>
          <w:rFonts w:ascii="Tahoma" w:hAnsi="Tahoma" w:cs="Tahoma"/>
          <w:sz w:val="22"/>
          <w:szCs w:val="22"/>
          <w:lang w:val="en-US"/>
        </w:rPr>
      </w:pPr>
    </w:p>
    <w:tbl>
      <w:tblPr>
        <w:tblpPr w:leftFromText="180" w:rightFromText="180" w:vertAnchor="text" w:horzAnchor="margin" w:tblpXSpec="center" w:tblpY="-52"/>
        <w:tblW w:w="9300" w:type="dxa"/>
        <w:tblLook w:val="04A0" w:firstRow="1" w:lastRow="0" w:firstColumn="1" w:lastColumn="0" w:noHBand="0" w:noVBand="1"/>
      </w:tblPr>
      <w:tblGrid>
        <w:gridCol w:w="3176"/>
        <w:gridCol w:w="2873"/>
        <w:gridCol w:w="3251"/>
      </w:tblGrid>
      <w:tr w:rsidR="000F032F" w:rsidTr="000F032F">
        <w:trPr>
          <w:trHeight w:val="264"/>
        </w:trPr>
        <w:tc>
          <w:tcPr>
            <w:tcW w:w="3176" w:type="dxa"/>
            <w:tcBorders>
              <w:top w:val="nil"/>
              <w:left w:val="nil"/>
              <w:bottom w:val="nil"/>
              <w:right w:val="nil"/>
            </w:tcBorders>
            <w:shd w:val="clear" w:color="000000" w:fill="E6E6E6"/>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 </w:t>
            </w:r>
          </w:p>
        </w:tc>
        <w:tc>
          <w:tcPr>
            <w:tcW w:w="2873" w:type="dxa"/>
            <w:tcBorders>
              <w:top w:val="nil"/>
              <w:left w:val="nil"/>
              <w:bottom w:val="nil"/>
              <w:right w:val="nil"/>
            </w:tcBorders>
            <w:shd w:val="clear" w:color="000000" w:fill="E6E6E6"/>
            <w:noWrap/>
            <w:vAlign w:val="bottom"/>
            <w:hideMark/>
          </w:tcPr>
          <w:p w:rsidR="000F032F" w:rsidRDefault="000F032F" w:rsidP="000F032F">
            <w:pPr>
              <w:jc w:val="center"/>
              <w:rPr>
                <w:rFonts w:ascii="Tahoma" w:hAnsi="Tahoma" w:cs="Tahoma"/>
                <w:b/>
                <w:bCs/>
                <w:sz w:val="18"/>
                <w:szCs w:val="18"/>
              </w:rPr>
            </w:pPr>
            <w:r>
              <w:rPr>
                <w:rFonts w:ascii="Tahoma" w:hAnsi="Tahoma" w:cs="Tahoma"/>
                <w:b/>
                <w:bCs/>
                <w:sz w:val="18"/>
                <w:szCs w:val="18"/>
              </w:rPr>
              <w:t>31.12.2018</w:t>
            </w:r>
          </w:p>
        </w:tc>
        <w:tc>
          <w:tcPr>
            <w:tcW w:w="3251" w:type="dxa"/>
            <w:tcBorders>
              <w:top w:val="nil"/>
              <w:left w:val="nil"/>
              <w:bottom w:val="nil"/>
              <w:right w:val="nil"/>
            </w:tcBorders>
            <w:shd w:val="clear" w:color="000000" w:fill="E6E6E6"/>
            <w:noWrap/>
            <w:vAlign w:val="bottom"/>
            <w:hideMark/>
          </w:tcPr>
          <w:p w:rsidR="000F032F" w:rsidRDefault="000F032F" w:rsidP="000F032F">
            <w:pPr>
              <w:jc w:val="center"/>
              <w:rPr>
                <w:rFonts w:ascii="Tahoma" w:hAnsi="Tahoma" w:cs="Tahoma"/>
                <w:b/>
                <w:bCs/>
                <w:sz w:val="18"/>
                <w:szCs w:val="18"/>
              </w:rPr>
            </w:pPr>
            <w:r>
              <w:rPr>
                <w:rFonts w:ascii="Tahoma" w:hAnsi="Tahoma" w:cs="Tahoma"/>
                <w:b/>
                <w:bCs/>
                <w:sz w:val="18"/>
                <w:szCs w:val="18"/>
              </w:rPr>
              <w:t>31.12.2017</w:t>
            </w:r>
          </w:p>
        </w:tc>
      </w:tr>
      <w:tr w:rsidR="000F032F" w:rsidTr="000F032F">
        <w:trPr>
          <w:trHeight w:val="360"/>
        </w:trPr>
        <w:tc>
          <w:tcPr>
            <w:tcW w:w="3176" w:type="dxa"/>
            <w:tcBorders>
              <w:top w:val="nil"/>
              <w:left w:val="nil"/>
              <w:bottom w:val="nil"/>
              <w:right w:val="nil"/>
            </w:tcBorders>
            <w:shd w:val="clear" w:color="auto" w:fill="auto"/>
            <w:vAlign w:val="bottom"/>
            <w:hideMark/>
          </w:tcPr>
          <w:p w:rsidR="000F032F" w:rsidRDefault="000F032F" w:rsidP="000F032F">
            <w:pPr>
              <w:rPr>
                <w:rFonts w:ascii="Tahoma" w:hAnsi="Tahoma" w:cs="Tahoma"/>
                <w:color w:val="000000"/>
                <w:sz w:val="18"/>
                <w:szCs w:val="18"/>
              </w:rPr>
            </w:pPr>
            <w:r>
              <w:rPr>
                <w:rFonts w:ascii="Tahoma" w:hAnsi="Tahoma" w:cs="Tahoma"/>
                <w:color w:val="000000"/>
                <w:sz w:val="18"/>
                <w:szCs w:val="18"/>
              </w:rPr>
              <w:t>Συνολικός δανεισμός</w:t>
            </w:r>
          </w:p>
        </w:tc>
        <w:tc>
          <w:tcPr>
            <w:tcW w:w="2873" w:type="dxa"/>
            <w:tcBorders>
              <w:top w:val="nil"/>
              <w:left w:val="nil"/>
              <w:bottom w:val="nil"/>
              <w:right w:val="nil"/>
            </w:tcBorders>
            <w:shd w:val="clear" w:color="auto" w:fill="auto"/>
            <w:vAlign w:val="bottom"/>
            <w:hideMark/>
          </w:tcPr>
          <w:p w:rsidR="000F032F" w:rsidRDefault="000F032F" w:rsidP="000F032F">
            <w:pPr>
              <w:jc w:val="right"/>
              <w:rPr>
                <w:rFonts w:ascii="Tahoma" w:hAnsi="Tahoma" w:cs="Tahoma"/>
                <w:color w:val="000000"/>
                <w:sz w:val="18"/>
                <w:szCs w:val="18"/>
              </w:rPr>
            </w:pPr>
            <w:r>
              <w:rPr>
                <w:rFonts w:ascii="Tahoma" w:hAnsi="Tahoma" w:cs="Tahoma"/>
                <w:color w:val="000000"/>
                <w:sz w:val="18"/>
                <w:szCs w:val="18"/>
              </w:rPr>
              <w:t>2.241,28</w:t>
            </w:r>
          </w:p>
        </w:tc>
        <w:tc>
          <w:tcPr>
            <w:tcW w:w="3251" w:type="dxa"/>
            <w:tcBorders>
              <w:top w:val="nil"/>
              <w:left w:val="nil"/>
              <w:bottom w:val="nil"/>
              <w:right w:val="nil"/>
            </w:tcBorders>
            <w:shd w:val="clear" w:color="auto" w:fill="auto"/>
            <w:vAlign w:val="bottom"/>
            <w:hideMark/>
          </w:tcPr>
          <w:p w:rsidR="000F032F" w:rsidRDefault="000F032F" w:rsidP="000F032F">
            <w:pPr>
              <w:jc w:val="right"/>
              <w:rPr>
                <w:rFonts w:ascii="Tahoma" w:hAnsi="Tahoma" w:cs="Tahoma"/>
                <w:color w:val="000000"/>
                <w:sz w:val="18"/>
                <w:szCs w:val="18"/>
              </w:rPr>
            </w:pPr>
            <w:r>
              <w:rPr>
                <w:rFonts w:ascii="Tahoma" w:hAnsi="Tahoma" w:cs="Tahoma"/>
                <w:color w:val="000000"/>
                <w:sz w:val="18"/>
                <w:szCs w:val="18"/>
              </w:rPr>
              <w:t>4.282,22</w:t>
            </w:r>
          </w:p>
        </w:tc>
      </w:tr>
      <w:tr w:rsidR="000F032F" w:rsidTr="000F032F">
        <w:trPr>
          <w:trHeight w:val="360"/>
        </w:trPr>
        <w:tc>
          <w:tcPr>
            <w:tcW w:w="3176" w:type="dxa"/>
            <w:tcBorders>
              <w:top w:val="nil"/>
              <w:left w:val="nil"/>
              <w:bottom w:val="nil"/>
              <w:right w:val="nil"/>
            </w:tcBorders>
            <w:shd w:val="clear" w:color="auto" w:fill="auto"/>
            <w:noWrap/>
            <w:vAlign w:val="bottom"/>
            <w:hideMark/>
          </w:tcPr>
          <w:p w:rsidR="000F032F" w:rsidRDefault="000F032F" w:rsidP="000F032F">
            <w:pPr>
              <w:rPr>
                <w:rFonts w:ascii="Tahoma" w:hAnsi="Tahoma" w:cs="Tahoma"/>
                <w:color w:val="000000"/>
                <w:sz w:val="18"/>
                <w:szCs w:val="18"/>
              </w:rPr>
            </w:pPr>
            <w:r>
              <w:rPr>
                <w:rFonts w:ascii="Tahoma" w:hAnsi="Tahoma" w:cs="Tahoma"/>
                <w:color w:val="000000"/>
                <w:sz w:val="18"/>
                <w:szCs w:val="18"/>
              </w:rPr>
              <w:t>Μείον: Χρηματικά διαθέσιμα</w:t>
            </w:r>
          </w:p>
        </w:tc>
        <w:tc>
          <w:tcPr>
            <w:tcW w:w="2873" w:type="dxa"/>
            <w:tcBorders>
              <w:top w:val="nil"/>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(1.110.951,55)</w:t>
            </w:r>
          </w:p>
        </w:tc>
        <w:tc>
          <w:tcPr>
            <w:tcW w:w="3251" w:type="dxa"/>
            <w:tcBorders>
              <w:top w:val="nil"/>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(867.468,74)</w:t>
            </w:r>
          </w:p>
        </w:tc>
      </w:tr>
      <w:tr w:rsidR="000F032F" w:rsidTr="000F032F">
        <w:trPr>
          <w:trHeight w:val="360"/>
        </w:trPr>
        <w:tc>
          <w:tcPr>
            <w:tcW w:w="3176" w:type="dxa"/>
            <w:tcBorders>
              <w:top w:val="nil"/>
              <w:left w:val="nil"/>
              <w:bottom w:val="nil"/>
              <w:right w:val="nil"/>
            </w:tcBorders>
            <w:shd w:val="clear" w:color="auto" w:fill="auto"/>
            <w:vAlign w:val="bottom"/>
            <w:hideMark/>
          </w:tcPr>
          <w:p w:rsidR="000F032F" w:rsidRDefault="000F032F" w:rsidP="000F032F">
            <w:pPr>
              <w:rPr>
                <w:rFonts w:ascii="Tahoma" w:hAnsi="Tahoma" w:cs="Tahoma"/>
                <w:color w:val="000000"/>
                <w:sz w:val="18"/>
                <w:szCs w:val="18"/>
              </w:rPr>
            </w:pPr>
            <w:r>
              <w:rPr>
                <w:rFonts w:ascii="Tahoma" w:hAnsi="Tahoma" w:cs="Tahoma"/>
                <w:color w:val="000000"/>
                <w:sz w:val="18"/>
                <w:szCs w:val="18"/>
              </w:rPr>
              <w:t>Καθαρός δανεισμός</w:t>
            </w:r>
          </w:p>
        </w:tc>
        <w:tc>
          <w:tcPr>
            <w:tcW w:w="2873"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(1.108.710,27)</w:t>
            </w:r>
          </w:p>
        </w:tc>
        <w:tc>
          <w:tcPr>
            <w:tcW w:w="3251"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(863.186,52)</w:t>
            </w:r>
          </w:p>
        </w:tc>
      </w:tr>
      <w:tr w:rsidR="000F032F" w:rsidTr="000F032F">
        <w:trPr>
          <w:trHeight w:val="360"/>
        </w:trPr>
        <w:tc>
          <w:tcPr>
            <w:tcW w:w="3176" w:type="dxa"/>
            <w:tcBorders>
              <w:top w:val="nil"/>
              <w:left w:val="nil"/>
              <w:bottom w:val="nil"/>
              <w:right w:val="nil"/>
            </w:tcBorders>
            <w:shd w:val="clear" w:color="auto" w:fill="auto"/>
            <w:vAlign w:val="bottom"/>
            <w:hideMark/>
          </w:tcPr>
          <w:p w:rsidR="000F032F" w:rsidRDefault="000F032F" w:rsidP="000F032F">
            <w:pPr>
              <w:rPr>
                <w:rFonts w:ascii="Tahoma" w:hAnsi="Tahoma" w:cs="Tahoma"/>
                <w:color w:val="000000"/>
                <w:sz w:val="18"/>
                <w:szCs w:val="18"/>
              </w:rPr>
            </w:pPr>
            <w:r>
              <w:rPr>
                <w:rFonts w:ascii="Tahoma" w:hAnsi="Tahoma" w:cs="Tahoma"/>
                <w:color w:val="000000"/>
                <w:sz w:val="18"/>
                <w:szCs w:val="18"/>
              </w:rPr>
              <w:t>Σύνολο ιδίων κεφαλαίων</w:t>
            </w:r>
          </w:p>
        </w:tc>
        <w:tc>
          <w:tcPr>
            <w:tcW w:w="2873" w:type="dxa"/>
            <w:tcBorders>
              <w:top w:val="nil"/>
              <w:left w:val="nil"/>
              <w:bottom w:val="single" w:sz="4" w:space="0" w:color="auto"/>
              <w:right w:val="nil"/>
            </w:tcBorders>
            <w:shd w:val="clear" w:color="auto" w:fill="auto"/>
            <w:vAlign w:val="bottom"/>
            <w:hideMark/>
          </w:tcPr>
          <w:p w:rsidR="000F032F" w:rsidRDefault="000F032F" w:rsidP="000F032F">
            <w:pPr>
              <w:jc w:val="right"/>
              <w:rPr>
                <w:rFonts w:ascii="Tahoma" w:hAnsi="Tahoma" w:cs="Tahoma"/>
                <w:color w:val="000000"/>
                <w:sz w:val="18"/>
                <w:szCs w:val="18"/>
              </w:rPr>
            </w:pPr>
            <w:r>
              <w:rPr>
                <w:rFonts w:ascii="Tahoma" w:hAnsi="Tahoma" w:cs="Tahoma"/>
                <w:color w:val="000000"/>
                <w:sz w:val="18"/>
                <w:szCs w:val="18"/>
              </w:rPr>
              <w:t>4.089.266,39</w:t>
            </w:r>
          </w:p>
        </w:tc>
        <w:tc>
          <w:tcPr>
            <w:tcW w:w="3251" w:type="dxa"/>
            <w:tcBorders>
              <w:top w:val="nil"/>
              <w:left w:val="nil"/>
              <w:bottom w:val="single" w:sz="4" w:space="0" w:color="auto"/>
              <w:right w:val="nil"/>
            </w:tcBorders>
            <w:shd w:val="clear" w:color="auto" w:fill="auto"/>
            <w:vAlign w:val="bottom"/>
            <w:hideMark/>
          </w:tcPr>
          <w:p w:rsidR="000F032F" w:rsidRDefault="000F032F" w:rsidP="000F032F">
            <w:pPr>
              <w:jc w:val="right"/>
              <w:rPr>
                <w:rFonts w:ascii="Tahoma" w:hAnsi="Tahoma" w:cs="Tahoma"/>
                <w:color w:val="000000"/>
                <w:sz w:val="18"/>
                <w:szCs w:val="18"/>
              </w:rPr>
            </w:pPr>
            <w:r>
              <w:rPr>
                <w:rFonts w:ascii="Tahoma" w:hAnsi="Tahoma" w:cs="Tahoma"/>
                <w:color w:val="000000"/>
                <w:sz w:val="18"/>
                <w:szCs w:val="18"/>
              </w:rPr>
              <w:t>4.106.555,94</w:t>
            </w:r>
          </w:p>
        </w:tc>
      </w:tr>
      <w:tr w:rsidR="000F032F" w:rsidTr="000F032F">
        <w:trPr>
          <w:trHeight w:val="360"/>
        </w:trPr>
        <w:tc>
          <w:tcPr>
            <w:tcW w:w="3176" w:type="dxa"/>
            <w:tcBorders>
              <w:top w:val="nil"/>
              <w:left w:val="nil"/>
              <w:bottom w:val="nil"/>
              <w:right w:val="nil"/>
            </w:tcBorders>
            <w:shd w:val="clear" w:color="auto" w:fill="auto"/>
            <w:vAlign w:val="bottom"/>
            <w:hideMark/>
          </w:tcPr>
          <w:p w:rsidR="000F032F" w:rsidRDefault="000F032F" w:rsidP="000F032F">
            <w:pPr>
              <w:rPr>
                <w:rFonts w:ascii="Tahoma" w:hAnsi="Tahoma" w:cs="Tahoma"/>
                <w:color w:val="000000"/>
                <w:sz w:val="18"/>
                <w:szCs w:val="18"/>
              </w:rPr>
            </w:pPr>
            <w:r>
              <w:rPr>
                <w:rFonts w:ascii="Tahoma" w:hAnsi="Tahoma" w:cs="Tahoma"/>
                <w:color w:val="000000"/>
                <w:sz w:val="18"/>
                <w:szCs w:val="18"/>
              </w:rPr>
              <w:t>Σύνολο κεφαλαίων</w:t>
            </w:r>
          </w:p>
        </w:tc>
        <w:tc>
          <w:tcPr>
            <w:tcW w:w="2873" w:type="dxa"/>
            <w:tcBorders>
              <w:top w:val="nil"/>
              <w:left w:val="nil"/>
              <w:bottom w:val="nil"/>
              <w:right w:val="nil"/>
            </w:tcBorders>
            <w:shd w:val="clear" w:color="auto" w:fill="auto"/>
            <w:vAlign w:val="bottom"/>
            <w:hideMark/>
          </w:tcPr>
          <w:p w:rsidR="000F032F" w:rsidRDefault="000F032F" w:rsidP="000F032F">
            <w:pPr>
              <w:jc w:val="right"/>
              <w:rPr>
                <w:rFonts w:ascii="Tahoma" w:hAnsi="Tahoma" w:cs="Tahoma"/>
                <w:color w:val="000000"/>
                <w:sz w:val="18"/>
                <w:szCs w:val="18"/>
              </w:rPr>
            </w:pPr>
            <w:r>
              <w:rPr>
                <w:rFonts w:ascii="Tahoma" w:hAnsi="Tahoma" w:cs="Tahoma"/>
                <w:color w:val="000000"/>
                <w:sz w:val="18"/>
                <w:szCs w:val="18"/>
              </w:rPr>
              <w:t>2.980.556,12</w:t>
            </w:r>
          </w:p>
        </w:tc>
        <w:tc>
          <w:tcPr>
            <w:tcW w:w="3251" w:type="dxa"/>
            <w:tcBorders>
              <w:top w:val="nil"/>
              <w:left w:val="nil"/>
              <w:bottom w:val="nil"/>
              <w:right w:val="nil"/>
            </w:tcBorders>
            <w:shd w:val="clear" w:color="auto" w:fill="auto"/>
            <w:vAlign w:val="bottom"/>
            <w:hideMark/>
          </w:tcPr>
          <w:p w:rsidR="000F032F" w:rsidRDefault="000F032F" w:rsidP="000F032F">
            <w:pPr>
              <w:jc w:val="right"/>
              <w:rPr>
                <w:rFonts w:ascii="Tahoma" w:hAnsi="Tahoma" w:cs="Tahoma"/>
                <w:color w:val="000000"/>
                <w:sz w:val="18"/>
                <w:szCs w:val="18"/>
              </w:rPr>
            </w:pPr>
            <w:r>
              <w:rPr>
                <w:rFonts w:ascii="Tahoma" w:hAnsi="Tahoma" w:cs="Tahoma"/>
                <w:color w:val="000000"/>
                <w:sz w:val="18"/>
                <w:szCs w:val="18"/>
              </w:rPr>
              <w:t>3.243.369,42</w:t>
            </w:r>
          </w:p>
        </w:tc>
      </w:tr>
      <w:tr w:rsidR="000F032F" w:rsidTr="000F032F">
        <w:trPr>
          <w:trHeight w:val="360"/>
        </w:trPr>
        <w:tc>
          <w:tcPr>
            <w:tcW w:w="3176" w:type="dxa"/>
            <w:tcBorders>
              <w:top w:val="nil"/>
              <w:left w:val="nil"/>
              <w:bottom w:val="nil"/>
              <w:right w:val="nil"/>
            </w:tcBorders>
            <w:shd w:val="clear" w:color="auto" w:fill="auto"/>
            <w:vAlign w:val="bottom"/>
            <w:hideMark/>
          </w:tcPr>
          <w:p w:rsidR="000F032F" w:rsidRDefault="000F032F" w:rsidP="000F032F">
            <w:pPr>
              <w:rPr>
                <w:rFonts w:ascii="Tahoma" w:hAnsi="Tahoma" w:cs="Tahoma"/>
                <w:b/>
                <w:bCs/>
                <w:color w:val="000000"/>
                <w:sz w:val="18"/>
                <w:szCs w:val="18"/>
              </w:rPr>
            </w:pPr>
            <w:r>
              <w:rPr>
                <w:rFonts w:ascii="Tahoma" w:hAnsi="Tahoma" w:cs="Tahoma"/>
                <w:b/>
                <w:bCs/>
                <w:color w:val="000000"/>
                <w:sz w:val="18"/>
                <w:szCs w:val="18"/>
              </w:rPr>
              <w:t>Συντελεστής Μόχλευσης</w:t>
            </w:r>
          </w:p>
        </w:tc>
        <w:tc>
          <w:tcPr>
            <w:tcW w:w="2873"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-37,20%</w:t>
            </w:r>
          </w:p>
        </w:tc>
        <w:tc>
          <w:tcPr>
            <w:tcW w:w="3251"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-26,61%</w:t>
            </w:r>
          </w:p>
        </w:tc>
      </w:tr>
    </w:tbl>
    <w:p w:rsidR="000F032F" w:rsidRPr="00485A4C" w:rsidRDefault="000F032F" w:rsidP="000F032F">
      <w:pPr>
        <w:autoSpaceDE w:val="0"/>
        <w:autoSpaceDN w:val="0"/>
        <w:adjustRightInd w:val="0"/>
        <w:spacing w:line="360" w:lineRule="auto"/>
        <w:jc w:val="both"/>
        <w:rPr>
          <w:rFonts w:ascii="Tahoma" w:hAnsi="Tahoma" w:cs="Tahoma"/>
          <w:sz w:val="22"/>
          <w:szCs w:val="22"/>
          <w:highlight w:val="red"/>
        </w:rPr>
      </w:pPr>
    </w:p>
    <w:p w:rsidR="007F08BC" w:rsidRPr="00485A4C" w:rsidRDefault="007F08BC" w:rsidP="008A6141">
      <w:pPr>
        <w:autoSpaceDE w:val="0"/>
        <w:autoSpaceDN w:val="0"/>
        <w:adjustRightInd w:val="0"/>
        <w:spacing w:line="360" w:lineRule="auto"/>
        <w:ind w:left="-567"/>
        <w:jc w:val="both"/>
        <w:rPr>
          <w:rFonts w:ascii="Tahoma" w:hAnsi="Tahoma" w:cs="Tahoma"/>
          <w:sz w:val="22"/>
          <w:szCs w:val="22"/>
          <w:highlight w:val="red"/>
        </w:rPr>
      </w:pPr>
    </w:p>
    <w:p w:rsidR="004762D0" w:rsidRPr="00485A4C" w:rsidRDefault="004762D0" w:rsidP="008A6141">
      <w:pPr>
        <w:autoSpaceDE w:val="0"/>
        <w:autoSpaceDN w:val="0"/>
        <w:adjustRightInd w:val="0"/>
        <w:spacing w:line="360" w:lineRule="auto"/>
        <w:ind w:left="-567"/>
        <w:jc w:val="both"/>
        <w:rPr>
          <w:rFonts w:ascii="Tahoma" w:hAnsi="Tahoma" w:cs="Tahoma"/>
          <w:sz w:val="22"/>
          <w:szCs w:val="22"/>
        </w:rPr>
      </w:pPr>
      <w:r w:rsidRPr="00485A4C">
        <w:rPr>
          <w:rFonts w:ascii="Tahoma" w:hAnsi="Tahoma" w:cs="Tahoma"/>
          <w:sz w:val="22"/>
          <w:szCs w:val="22"/>
        </w:rPr>
        <w:t xml:space="preserve">Η </w:t>
      </w:r>
      <w:r w:rsidR="000F032F">
        <w:rPr>
          <w:rFonts w:ascii="Tahoma" w:hAnsi="Tahoma" w:cs="Tahoma"/>
          <w:sz w:val="22"/>
          <w:szCs w:val="22"/>
        </w:rPr>
        <w:t>αύξηση</w:t>
      </w:r>
      <w:r w:rsidRPr="00485A4C">
        <w:rPr>
          <w:rFonts w:ascii="Tahoma" w:hAnsi="Tahoma" w:cs="Tahoma"/>
          <w:sz w:val="22"/>
          <w:szCs w:val="22"/>
        </w:rPr>
        <w:t xml:space="preserve"> του συντελεστή μόχλευσης την 3</w:t>
      </w:r>
      <w:r w:rsidR="007D6E9A" w:rsidRPr="00485A4C">
        <w:rPr>
          <w:rFonts w:ascii="Tahoma" w:hAnsi="Tahoma" w:cs="Tahoma"/>
          <w:sz w:val="22"/>
          <w:szCs w:val="22"/>
        </w:rPr>
        <w:t>1</w:t>
      </w:r>
      <w:r w:rsidRPr="00485A4C">
        <w:rPr>
          <w:rFonts w:ascii="Tahoma" w:hAnsi="Tahoma" w:cs="Tahoma"/>
          <w:sz w:val="22"/>
          <w:szCs w:val="22"/>
        </w:rPr>
        <w:t>.</w:t>
      </w:r>
      <w:r w:rsidR="007D6E9A" w:rsidRPr="00485A4C">
        <w:rPr>
          <w:rFonts w:ascii="Tahoma" w:hAnsi="Tahoma" w:cs="Tahoma"/>
          <w:sz w:val="22"/>
          <w:szCs w:val="22"/>
        </w:rPr>
        <w:t>12</w:t>
      </w:r>
      <w:r w:rsidRPr="00485A4C">
        <w:rPr>
          <w:rFonts w:ascii="Tahoma" w:hAnsi="Tahoma" w:cs="Tahoma"/>
          <w:sz w:val="22"/>
          <w:szCs w:val="22"/>
        </w:rPr>
        <w:t>.20</w:t>
      </w:r>
      <w:r w:rsidR="00885673" w:rsidRPr="00485A4C">
        <w:rPr>
          <w:rFonts w:ascii="Tahoma" w:hAnsi="Tahoma" w:cs="Tahoma"/>
          <w:sz w:val="22"/>
          <w:szCs w:val="22"/>
        </w:rPr>
        <w:t>1</w:t>
      </w:r>
      <w:r w:rsidR="000F032F">
        <w:rPr>
          <w:rFonts w:ascii="Tahoma" w:hAnsi="Tahoma" w:cs="Tahoma"/>
          <w:sz w:val="22"/>
          <w:szCs w:val="22"/>
        </w:rPr>
        <w:t>8</w:t>
      </w:r>
      <w:r w:rsidRPr="00485A4C">
        <w:rPr>
          <w:rFonts w:ascii="Tahoma" w:hAnsi="Tahoma" w:cs="Tahoma"/>
          <w:sz w:val="22"/>
          <w:szCs w:val="22"/>
        </w:rPr>
        <w:t xml:space="preserve"> έναντι της 3</w:t>
      </w:r>
      <w:r w:rsidR="007D6E9A" w:rsidRPr="00485A4C">
        <w:rPr>
          <w:rFonts w:ascii="Tahoma" w:hAnsi="Tahoma" w:cs="Tahoma"/>
          <w:sz w:val="22"/>
          <w:szCs w:val="22"/>
        </w:rPr>
        <w:t>1</w:t>
      </w:r>
      <w:r w:rsidRPr="00485A4C">
        <w:rPr>
          <w:rFonts w:ascii="Tahoma" w:hAnsi="Tahoma" w:cs="Tahoma"/>
          <w:sz w:val="22"/>
          <w:szCs w:val="22"/>
        </w:rPr>
        <w:t>.</w:t>
      </w:r>
      <w:r w:rsidR="007D6E9A" w:rsidRPr="00485A4C">
        <w:rPr>
          <w:rFonts w:ascii="Tahoma" w:hAnsi="Tahoma" w:cs="Tahoma"/>
          <w:sz w:val="22"/>
          <w:szCs w:val="22"/>
        </w:rPr>
        <w:t>12</w:t>
      </w:r>
      <w:r w:rsidRPr="00485A4C">
        <w:rPr>
          <w:rFonts w:ascii="Tahoma" w:hAnsi="Tahoma" w:cs="Tahoma"/>
          <w:sz w:val="22"/>
          <w:szCs w:val="22"/>
        </w:rPr>
        <w:t>.20</w:t>
      </w:r>
      <w:r w:rsidR="005A439B" w:rsidRPr="00485A4C">
        <w:rPr>
          <w:rFonts w:ascii="Tahoma" w:hAnsi="Tahoma" w:cs="Tahoma"/>
          <w:sz w:val="22"/>
          <w:szCs w:val="22"/>
        </w:rPr>
        <w:t>1</w:t>
      </w:r>
      <w:r w:rsidR="000F032F">
        <w:rPr>
          <w:rFonts w:ascii="Tahoma" w:hAnsi="Tahoma" w:cs="Tahoma"/>
          <w:sz w:val="22"/>
          <w:szCs w:val="22"/>
        </w:rPr>
        <w:t>7</w:t>
      </w:r>
      <w:r w:rsidRPr="00485A4C">
        <w:rPr>
          <w:rFonts w:ascii="Tahoma" w:hAnsi="Tahoma" w:cs="Tahoma"/>
          <w:sz w:val="22"/>
          <w:szCs w:val="22"/>
        </w:rPr>
        <w:t xml:space="preserve"> οφείλεται </w:t>
      </w:r>
      <w:r w:rsidR="00CF7A1F" w:rsidRPr="00485A4C">
        <w:rPr>
          <w:rFonts w:ascii="Tahoma" w:hAnsi="Tahoma" w:cs="Tahoma"/>
          <w:sz w:val="22"/>
          <w:szCs w:val="22"/>
        </w:rPr>
        <w:t xml:space="preserve">κυρίως </w:t>
      </w:r>
      <w:r w:rsidRPr="00485A4C">
        <w:rPr>
          <w:rFonts w:ascii="Tahoma" w:hAnsi="Tahoma" w:cs="Tahoma"/>
          <w:sz w:val="22"/>
          <w:szCs w:val="22"/>
        </w:rPr>
        <w:t>στη</w:t>
      </w:r>
      <w:r w:rsidR="000F032F">
        <w:rPr>
          <w:rFonts w:ascii="Tahoma" w:hAnsi="Tahoma" w:cs="Tahoma"/>
          <w:sz w:val="22"/>
          <w:szCs w:val="22"/>
        </w:rPr>
        <w:t>ν αύξηση</w:t>
      </w:r>
      <w:r w:rsidR="00586016" w:rsidRPr="00485A4C">
        <w:rPr>
          <w:rFonts w:ascii="Tahoma" w:hAnsi="Tahoma" w:cs="Tahoma"/>
          <w:sz w:val="22"/>
          <w:szCs w:val="22"/>
        </w:rPr>
        <w:t xml:space="preserve"> των χρηματικών διαθεσίμων </w:t>
      </w:r>
      <w:r w:rsidR="00CF50B9" w:rsidRPr="00485A4C">
        <w:rPr>
          <w:rFonts w:ascii="Tahoma" w:hAnsi="Tahoma" w:cs="Tahoma"/>
          <w:sz w:val="22"/>
          <w:szCs w:val="22"/>
        </w:rPr>
        <w:t>της Εταιρείας</w:t>
      </w:r>
      <w:r w:rsidRPr="00485A4C">
        <w:rPr>
          <w:rFonts w:ascii="Tahoma" w:hAnsi="Tahoma" w:cs="Tahoma"/>
          <w:sz w:val="22"/>
          <w:szCs w:val="22"/>
        </w:rPr>
        <w:t>.</w:t>
      </w:r>
    </w:p>
    <w:p w:rsidR="007F08BC" w:rsidRPr="00485A4C" w:rsidRDefault="007F08BC" w:rsidP="008A6141">
      <w:pPr>
        <w:autoSpaceDE w:val="0"/>
        <w:autoSpaceDN w:val="0"/>
        <w:adjustRightInd w:val="0"/>
        <w:spacing w:line="360" w:lineRule="auto"/>
        <w:ind w:left="-567"/>
        <w:jc w:val="both"/>
        <w:rPr>
          <w:rFonts w:ascii="Tahoma" w:hAnsi="Tahoma" w:cs="Tahoma"/>
          <w:sz w:val="22"/>
          <w:szCs w:val="22"/>
          <w:highlight w:val="red"/>
        </w:rPr>
      </w:pPr>
    </w:p>
    <w:p w:rsidR="00480197" w:rsidRPr="00485A4C" w:rsidRDefault="0020008D" w:rsidP="00480197">
      <w:pPr>
        <w:pStyle w:val="Heading1"/>
        <w:ind w:left="-540"/>
        <w:rPr>
          <w:rFonts w:ascii="Tahoma" w:hAnsi="Tahoma" w:cs="Tahoma"/>
          <w:sz w:val="22"/>
          <w:szCs w:val="22"/>
        </w:rPr>
      </w:pPr>
      <w:bookmarkStart w:id="20" w:name="_Toc526260601"/>
      <w:bookmarkStart w:id="21" w:name="_Toc147123964"/>
      <w:r w:rsidRPr="00485A4C">
        <w:rPr>
          <w:rFonts w:ascii="Tahoma" w:hAnsi="Tahoma" w:cs="Tahoma"/>
          <w:sz w:val="22"/>
          <w:szCs w:val="22"/>
        </w:rPr>
        <w:t>7</w:t>
      </w:r>
      <w:r w:rsidR="00480197" w:rsidRPr="00485A4C">
        <w:rPr>
          <w:rFonts w:ascii="Tahoma" w:hAnsi="Tahoma" w:cs="Tahoma"/>
          <w:sz w:val="22"/>
          <w:szCs w:val="22"/>
        </w:rPr>
        <w:t xml:space="preserve">. </w:t>
      </w:r>
      <w:bookmarkStart w:id="22" w:name="_Toc178753430"/>
      <w:r w:rsidR="00480197" w:rsidRPr="00485A4C">
        <w:rPr>
          <w:rFonts w:ascii="Tahoma" w:hAnsi="Tahoma" w:cs="Tahoma"/>
          <w:sz w:val="22"/>
          <w:szCs w:val="22"/>
        </w:rPr>
        <w:t>Σημειώσεις επί των οικονομικών καταστάσεων</w:t>
      </w:r>
      <w:bookmarkEnd w:id="20"/>
      <w:bookmarkEnd w:id="22"/>
    </w:p>
    <w:p w:rsidR="00480197" w:rsidRPr="00485A4C" w:rsidRDefault="0020008D" w:rsidP="000B0880">
      <w:pPr>
        <w:pStyle w:val="Heading2"/>
        <w:ind w:left="-540"/>
        <w:rPr>
          <w:rFonts w:ascii="Tahoma" w:hAnsi="Tahoma" w:cs="Tahoma"/>
          <w:i w:val="0"/>
          <w:sz w:val="22"/>
          <w:szCs w:val="22"/>
        </w:rPr>
      </w:pPr>
      <w:bookmarkStart w:id="23" w:name="_Toc178753431"/>
      <w:bookmarkStart w:id="24" w:name="_Toc526260602"/>
      <w:r w:rsidRPr="00485A4C">
        <w:rPr>
          <w:rFonts w:ascii="Tahoma" w:hAnsi="Tahoma" w:cs="Tahoma"/>
          <w:i w:val="0"/>
          <w:sz w:val="22"/>
          <w:szCs w:val="22"/>
        </w:rPr>
        <w:t>7</w:t>
      </w:r>
      <w:r w:rsidR="00480197" w:rsidRPr="00485A4C">
        <w:rPr>
          <w:rFonts w:ascii="Tahoma" w:hAnsi="Tahoma" w:cs="Tahoma"/>
          <w:i w:val="0"/>
          <w:sz w:val="22"/>
          <w:szCs w:val="22"/>
        </w:rPr>
        <w:t>.1. Ενσώματα πάγια</w:t>
      </w:r>
      <w:bookmarkEnd w:id="23"/>
      <w:bookmarkEnd w:id="24"/>
    </w:p>
    <w:p w:rsidR="002577B1" w:rsidRPr="00485A4C" w:rsidRDefault="002577B1" w:rsidP="002577B1">
      <w:pPr>
        <w:rPr>
          <w:rFonts w:ascii="Tahoma" w:hAnsi="Tahoma" w:cs="Tahoma"/>
          <w:highlight w:val="red"/>
        </w:rPr>
      </w:pPr>
    </w:p>
    <w:p w:rsidR="0083777F" w:rsidRPr="00485A4C" w:rsidRDefault="007F08BC" w:rsidP="0083777F">
      <w:pPr>
        <w:spacing w:line="360" w:lineRule="auto"/>
        <w:ind w:left="-539"/>
        <w:jc w:val="both"/>
        <w:rPr>
          <w:rFonts w:ascii="Tahoma" w:hAnsi="Tahoma" w:cs="Tahoma"/>
          <w:sz w:val="22"/>
          <w:szCs w:val="22"/>
        </w:rPr>
      </w:pPr>
      <w:r w:rsidRPr="00485A4C">
        <w:rPr>
          <w:rFonts w:ascii="Tahoma" w:hAnsi="Tahoma" w:cs="Tahoma"/>
          <w:sz w:val="22"/>
          <w:szCs w:val="22"/>
        </w:rPr>
        <w:t xml:space="preserve">Κατωτέρω παρατίθενται οι μεταβολές των παγίων περιουσιακών στοιχείων για την περίοδο από </w:t>
      </w:r>
      <w:r w:rsidR="000251D7" w:rsidRPr="00485A4C">
        <w:rPr>
          <w:rFonts w:ascii="Tahoma" w:hAnsi="Tahoma" w:cs="Tahoma"/>
          <w:sz w:val="22"/>
          <w:szCs w:val="22"/>
        </w:rPr>
        <w:t>01.01.1</w:t>
      </w:r>
      <w:r w:rsidR="000F032F">
        <w:rPr>
          <w:rFonts w:ascii="Tahoma" w:hAnsi="Tahoma" w:cs="Tahoma"/>
          <w:sz w:val="22"/>
          <w:szCs w:val="22"/>
        </w:rPr>
        <w:t>8</w:t>
      </w:r>
      <w:r w:rsidR="000251D7" w:rsidRPr="00485A4C">
        <w:rPr>
          <w:rFonts w:ascii="Tahoma" w:hAnsi="Tahoma" w:cs="Tahoma"/>
          <w:sz w:val="22"/>
          <w:szCs w:val="22"/>
        </w:rPr>
        <w:t xml:space="preserve"> έως 31.12.1</w:t>
      </w:r>
      <w:r w:rsidR="000F032F">
        <w:rPr>
          <w:rFonts w:ascii="Tahoma" w:hAnsi="Tahoma" w:cs="Tahoma"/>
          <w:sz w:val="22"/>
          <w:szCs w:val="22"/>
        </w:rPr>
        <w:t>8</w:t>
      </w:r>
      <w:r w:rsidRPr="00485A4C">
        <w:rPr>
          <w:rFonts w:ascii="Tahoma" w:hAnsi="Tahoma" w:cs="Tahoma"/>
          <w:sz w:val="22"/>
          <w:szCs w:val="22"/>
        </w:rPr>
        <w:t xml:space="preserve"> και </w:t>
      </w:r>
      <w:r w:rsidR="002D0D37" w:rsidRPr="00485A4C">
        <w:rPr>
          <w:rFonts w:ascii="Tahoma" w:hAnsi="Tahoma" w:cs="Tahoma"/>
          <w:sz w:val="22"/>
          <w:szCs w:val="22"/>
        </w:rPr>
        <w:t>01.01.1</w:t>
      </w:r>
      <w:r w:rsidR="000F032F">
        <w:rPr>
          <w:rFonts w:ascii="Tahoma" w:hAnsi="Tahoma" w:cs="Tahoma"/>
          <w:sz w:val="22"/>
          <w:szCs w:val="22"/>
        </w:rPr>
        <w:t>7</w:t>
      </w:r>
      <w:r w:rsidR="002D0D37" w:rsidRPr="00485A4C">
        <w:rPr>
          <w:rFonts w:ascii="Tahoma" w:hAnsi="Tahoma" w:cs="Tahoma"/>
          <w:sz w:val="22"/>
          <w:szCs w:val="22"/>
        </w:rPr>
        <w:t xml:space="preserve"> έως 31.12.1</w:t>
      </w:r>
      <w:r w:rsidR="000F032F">
        <w:rPr>
          <w:rFonts w:ascii="Tahoma" w:hAnsi="Tahoma" w:cs="Tahoma"/>
          <w:sz w:val="22"/>
          <w:szCs w:val="22"/>
        </w:rPr>
        <w:t>7</w:t>
      </w:r>
      <w:r w:rsidRPr="00485A4C">
        <w:rPr>
          <w:rFonts w:ascii="Tahoma" w:hAnsi="Tahoma" w:cs="Tahoma"/>
          <w:sz w:val="22"/>
          <w:szCs w:val="22"/>
        </w:rPr>
        <w:t>.</w:t>
      </w:r>
    </w:p>
    <w:p w:rsidR="006471FA" w:rsidRDefault="006471FA" w:rsidP="006471FA">
      <w:pPr>
        <w:spacing w:line="360" w:lineRule="auto"/>
        <w:ind w:left="-1418"/>
        <w:jc w:val="both"/>
        <w:rPr>
          <w:rFonts w:ascii="Tahoma" w:hAnsi="Tahoma" w:cs="Tahoma"/>
          <w:sz w:val="22"/>
          <w:szCs w:val="22"/>
        </w:rPr>
      </w:pPr>
    </w:p>
    <w:p w:rsidR="000F032F" w:rsidRDefault="000F032F" w:rsidP="006471FA">
      <w:pPr>
        <w:spacing w:line="360" w:lineRule="auto"/>
        <w:ind w:left="-1418"/>
        <w:jc w:val="both"/>
        <w:rPr>
          <w:rFonts w:ascii="Tahoma" w:hAnsi="Tahoma" w:cs="Tahoma"/>
          <w:sz w:val="22"/>
          <w:szCs w:val="22"/>
        </w:rPr>
      </w:pPr>
    </w:p>
    <w:p w:rsidR="000F032F" w:rsidRDefault="000F032F" w:rsidP="006471FA">
      <w:pPr>
        <w:spacing w:line="360" w:lineRule="auto"/>
        <w:ind w:left="-1418"/>
        <w:jc w:val="both"/>
        <w:rPr>
          <w:rFonts w:ascii="Tahoma" w:hAnsi="Tahoma" w:cs="Tahoma"/>
          <w:sz w:val="22"/>
          <w:szCs w:val="22"/>
        </w:rPr>
      </w:pPr>
    </w:p>
    <w:p w:rsidR="000F032F" w:rsidRDefault="000F032F" w:rsidP="006471FA">
      <w:pPr>
        <w:spacing w:line="360" w:lineRule="auto"/>
        <w:ind w:left="-1418"/>
        <w:jc w:val="both"/>
        <w:rPr>
          <w:rFonts w:ascii="Tahoma" w:hAnsi="Tahoma" w:cs="Tahoma"/>
          <w:sz w:val="22"/>
          <w:szCs w:val="22"/>
        </w:rPr>
      </w:pPr>
    </w:p>
    <w:p w:rsidR="000F032F" w:rsidRDefault="000F032F" w:rsidP="006471FA">
      <w:pPr>
        <w:spacing w:line="360" w:lineRule="auto"/>
        <w:ind w:left="-1418"/>
        <w:jc w:val="both"/>
        <w:rPr>
          <w:rFonts w:ascii="Tahoma" w:hAnsi="Tahoma" w:cs="Tahoma"/>
          <w:sz w:val="22"/>
          <w:szCs w:val="22"/>
        </w:rPr>
      </w:pPr>
    </w:p>
    <w:p w:rsidR="000F032F" w:rsidRDefault="000F032F" w:rsidP="006471FA">
      <w:pPr>
        <w:spacing w:line="360" w:lineRule="auto"/>
        <w:ind w:left="-1418"/>
        <w:jc w:val="both"/>
        <w:rPr>
          <w:rFonts w:ascii="Tahoma" w:hAnsi="Tahoma" w:cs="Tahoma"/>
          <w:sz w:val="22"/>
          <w:szCs w:val="22"/>
        </w:rPr>
      </w:pPr>
    </w:p>
    <w:tbl>
      <w:tblPr>
        <w:tblpPr w:leftFromText="180" w:rightFromText="180" w:vertAnchor="text" w:horzAnchor="margin" w:tblpXSpec="center" w:tblpY="115"/>
        <w:tblW w:w="10834" w:type="dxa"/>
        <w:tblLook w:val="04A0" w:firstRow="1" w:lastRow="0" w:firstColumn="1" w:lastColumn="0" w:noHBand="0" w:noVBand="1"/>
      </w:tblPr>
      <w:tblGrid>
        <w:gridCol w:w="2835"/>
        <w:gridCol w:w="1246"/>
        <w:gridCol w:w="1417"/>
        <w:gridCol w:w="1417"/>
        <w:gridCol w:w="1382"/>
        <w:gridCol w:w="1256"/>
        <w:gridCol w:w="1417"/>
      </w:tblGrid>
      <w:tr w:rsidR="000F032F" w:rsidTr="000F032F">
        <w:trPr>
          <w:trHeight w:val="360"/>
        </w:trPr>
        <w:tc>
          <w:tcPr>
            <w:tcW w:w="2835" w:type="dxa"/>
            <w:tcBorders>
              <w:top w:val="nil"/>
              <w:left w:val="nil"/>
              <w:bottom w:val="nil"/>
              <w:right w:val="nil"/>
            </w:tcBorders>
            <w:shd w:val="clear" w:color="000000" w:fill="F2F2F2"/>
            <w:vAlign w:val="bottom"/>
            <w:hideMark/>
          </w:tcPr>
          <w:p w:rsidR="000F032F" w:rsidRDefault="000F032F" w:rsidP="000F032F">
            <w:pPr>
              <w:rPr>
                <w:rFonts w:ascii="Tahoma" w:hAnsi="Tahoma" w:cs="Tahoma"/>
                <w:b/>
                <w:bCs/>
                <w:sz w:val="18"/>
                <w:szCs w:val="18"/>
              </w:rPr>
            </w:pPr>
            <w:r>
              <w:rPr>
                <w:rFonts w:ascii="Tahoma" w:hAnsi="Tahoma" w:cs="Tahoma"/>
                <w:b/>
                <w:bCs/>
                <w:sz w:val="18"/>
                <w:szCs w:val="18"/>
              </w:rPr>
              <w:t xml:space="preserve">Αξία κτήσεως ή αποτίμησης  </w:t>
            </w:r>
          </w:p>
        </w:tc>
        <w:tc>
          <w:tcPr>
            <w:tcW w:w="1246" w:type="dxa"/>
            <w:tcBorders>
              <w:top w:val="nil"/>
              <w:left w:val="nil"/>
              <w:bottom w:val="nil"/>
              <w:right w:val="nil"/>
            </w:tcBorders>
            <w:shd w:val="clear" w:color="000000" w:fill="F2F2F2"/>
            <w:noWrap/>
            <w:vAlign w:val="bottom"/>
            <w:hideMark/>
          </w:tcPr>
          <w:p w:rsidR="000F032F" w:rsidRDefault="004C29FD" w:rsidP="000F032F">
            <w:pPr>
              <w:jc w:val="center"/>
              <w:rPr>
                <w:rFonts w:ascii="Tahoma" w:hAnsi="Tahoma" w:cs="Tahoma"/>
                <w:b/>
                <w:bCs/>
                <w:sz w:val="18"/>
                <w:szCs w:val="18"/>
              </w:rPr>
            </w:pPr>
            <w:r>
              <w:rPr>
                <w:rFonts w:ascii="Tahoma" w:hAnsi="Tahoma" w:cs="Tahoma"/>
                <w:b/>
                <w:bCs/>
                <w:sz w:val="18"/>
                <w:szCs w:val="18"/>
              </w:rPr>
              <w:t>Γήπεδα</w:t>
            </w:r>
            <w:r w:rsidR="000F032F">
              <w:rPr>
                <w:rFonts w:ascii="Tahoma" w:hAnsi="Tahoma" w:cs="Tahoma"/>
                <w:b/>
                <w:bCs/>
                <w:sz w:val="18"/>
                <w:szCs w:val="18"/>
              </w:rPr>
              <w:t> </w:t>
            </w:r>
          </w:p>
        </w:tc>
        <w:tc>
          <w:tcPr>
            <w:tcW w:w="1417" w:type="dxa"/>
            <w:tcBorders>
              <w:top w:val="nil"/>
              <w:left w:val="nil"/>
              <w:bottom w:val="nil"/>
              <w:right w:val="nil"/>
            </w:tcBorders>
            <w:shd w:val="clear" w:color="000000" w:fill="F2F2F2"/>
            <w:noWrap/>
            <w:vAlign w:val="bottom"/>
            <w:hideMark/>
          </w:tcPr>
          <w:p w:rsidR="004C29FD" w:rsidRDefault="000F032F" w:rsidP="000F032F">
            <w:pPr>
              <w:jc w:val="center"/>
              <w:rPr>
                <w:rFonts w:ascii="Tahoma" w:hAnsi="Tahoma" w:cs="Tahoma"/>
                <w:b/>
                <w:bCs/>
                <w:sz w:val="18"/>
                <w:szCs w:val="18"/>
              </w:rPr>
            </w:pPr>
            <w:r>
              <w:rPr>
                <w:rFonts w:ascii="Tahoma" w:hAnsi="Tahoma" w:cs="Tahoma"/>
                <w:b/>
                <w:bCs/>
                <w:sz w:val="18"/>
                <w:szCs w:val="18"/>
              </w:rPr>
              <w:t> </w:t>
            </w:r>
          </w:p>
          <w:p w:rsidR="000F032F" w:rsidRDefault="004C29FD" w:rsidP="004C29FD">
            <w:pPr>
              <w:jc w:val="center"/>
              <w:rPr>
                <w:rFonts w:ascii="Tahoma" w:hAnsi="Tahoma" w:cs="Tahoma"/>
                <w:b/>
                <w:bCs/>
                <w:sz w:val="18"/>
                <w:szCs w:val="18"/>
              </w:rPr>
            </w:pPr>
            <w:r>
              <w:rPr>
                <w:rFonts w:ascii="Tahoma" w:hAnsi="Tahoma" w:cs="Tahoma"/>
                <w:b/>
                <w:bCs/>
                <w:sz w:val="18"/>
                <w:szCs w:val="18"/>
              </w:rPr>
              <w:t xml:space="preserve">Κτίρια </w:t>
            </w:r>
          </w:p>
        </w:tc>
        <w:tc>
          <w:tcPr>
            <w:tcW w:w="1417" w:type="dxa"/>
            <w:tcBorders>
              <w:top w:val="nil"/>
              <w:left w:val="nil"/>
              <w:bottom w:val="nil"/>
              <w:right w:val="nil"/>
            </w:tcBorders>
            <w:shd w:val="clear" w:color="000000" w:fill="F2F2F2"/>
            <w:noWrap/>
            <w:vAlign w:val="bottom"/>
            <w:hideMark/>
          </w:tcPr>
          <w:p w:rsidR="000F032F" w:rsidRDefault="004C29FD" w:rsidP="004C29FD">
            <w:pPr>
              <w:jc w:val="center"/>
              <w:rPr>
                <w:rFonts w:ascii="Tahoma" w:hAnsi="Tahoma" w:cs="Tahoma"/>
                <w:b/>
                <w:bCs/>
                <w:sz w:val="18"/>
                <w:szCs w:val="18"/>
              </w:rPr>
            </w:pPr>
            <w:r>
              <w:rPr>
                <w:rFonts w:ascii="Tahoma" w:hAnsi="Tahoma" w:cs="Tahoma"/>
                <w:b/>
                <w:bCs/>
                <w:sz w:val="18"/>
                <w:szCs w:val="18"/>
              </w:rPr>
              <w:t>Μηχαν/κός</w:t>
            </w:r>
          </w:p>
        </w:tc>
        <w:tc>
          <w:tcPr>
            <w:tcW w:w="1246" w:type="dxa"/>
            <w:tcBorders>
              <w:top w:val="nil"/>
              <w:left w:val="nil"/>
              <w:bottom w:val="nil"/>
              <w:right w:val="nil"/>
            </w:tcBorders>
            <w:shd w:val="clear" w:color="000000" w:fill="F2F2F2"/>
            <w:noWrap/>
            <w:vAlign w:val="bottom"/>
            <w:hideMark/>
          </w:tcPr>
          <w:p w:rsidR="000F032F" w:rsidRDefault="004C29FD" w:rsidP="004C29FD">
            <w:pPr>
              <w:jc w:val="center"/>
              <w:rPr>
                <w:rFonts w:ascii="Tahoma" w:hAnsi="Tahoma" w:cs="Tahoma"/>
                <w:b/>
                <w:bCs/>
                <w:sz w:val="18"/>
                <w:szCs w:val="18"/>
              </w:rPr>
            </w:pPr>
            <w:r>
              <w:rPr>
                <w:rFonts w:ascii="Tahoma" w:hAnsi="Tahoma" w:cs="Tahoma"/>
                <w:b/>
                <w:bCs/>
                <w:sz w:val="18"/>
                <w:szCs w:val="18"/>
              </w:rPr>
              <w:t>Μεταφορικά</w:t>
            </w:r>
            <w:r w:rsidR="000F032F">
              <w:rPr>
                <w:rFonts w:ascii="Tahoma" w:hAnsi="Tahoma" w:cs="Tahoma"/>
                <w:b/>
                <w:bCs/>
                <w:sz w:val="18"/>
                <w:szCs w:val="18"/>
              </w:rPr>
              <w:t> </w:t>
            </w:r>
          </w:p>
        </w:tc>
        <w:tc>
          <w:tcPr>
            <w:tcW w:w="1256" w:type="dxa"/>
            <w:tcBorders>
              <w:top w:val="nil"/>
              <w:left w:val="nil"/>
              <w:bottom w:val="nil"/>
              <w:right w:val="nil"/>
            </w:tcBorders>
            <w:shd w:val="clear" w:color="000000" w:fill="F2F2F2"/>
            <w:noWrap/>
            <w:vAlign w:val="bottom"/>
            <w:hideMark/>
          </w:tcPr>
          <w:p w:rsidR="000F032F" w:rsidRDefault="004C29FD" w:rsidP="004C29FD">
            <w:pPr>
              <w:jc w:val="center"/>
              <w:rPr>
                <w:rFonts w:ascii="Tahoma" w:hAnsi="Tahoma" w:cs="Tahoma"/>
                <w:b/>
                <w:bCs/>
                <w:sz w:val="18"/>
                <w:szCs w:val="18"/>
              </w:rPr>
            </w:pPr>
            <w:r>
              <w:rPr>
                <w:rFonts w:ascii="Tahoma" w:hAnsi="Tahoma" w:cs="Tahoma"/>
                <w:b/>
                <w:bCs/>
                <w:sz w:val="18"/>
                <w:szCs w:val="18"/>
              </w:rPr>
              <w:t xml:space="preserve">Έπιπλα &amp; </w:t>
            </w:r>
            <w:r w:rsidR="000F032F">
              <w:rPr>
                <w:rFonts w:ascii="Tahoma" w:hAnsi="Tahoma" w:cs="Tahoma"/>
                <w:b/>
                <w:bCs/>
                <w:sz w:val="18"/>
                <w:szCs w:val="18"/>
              </w:rPr>
              <w:t> </w:t>
            </w:r>
          </w:p>
        </w:tc>
        <w:tc>
          <w:tcPr>
            <w:tcW w:w="1417" w:type="dxa"/>
            <w:tcBorders>
              <w:top w:val="nil"/>
              <w:left w:val="nil"/>
              <w:bottom w:val="nil"/>
              <w:right w:val="nil"/>
            </w:tcBorders>
            <w:shd w:val="clear" w:color="000000" w:fill="F2F2F2"/>
            <w:noWrap/>
            <w:vAlign w:val="bottom"/>
            <w:hideMark/>
          </w:tcPr>
          <w:p w:rsidR="000F032F" w:rsidRDefault="000F032F" w:rsidP="000F032F">
            <w:pPr>
              <w:jc w:val="center"/>
              <w:rPr>
                <w:rFonts w:ascii="Tahoma" w:hAnsi="Tahoma" w:cs="Tahoma"/>
                <w:sz w:val="18"/>
                <w:szCs w:val="18"/>
              </w:rPr>
            </w:pPr>
            <w:r>
              <w:rPr>
                <w:rFonts w:ascii="Tahoma" w:hAnsi="Tahoma" w:cs="Tahoma"/>
                <w:sz w:val="18"/>
                <w:szCs w:val="18"/>
              </w:rPr>
              <w:t> </w:t>
            </w:r>
          </w:p>
        </w:tc>
      </w:tr>
      <w:tr w:rsidR="000F032F" w:rsidTr="000F032F">
        <w:trPr>
          <w:trHeight w:val="360"/>
        </w:trPr>
        <w:tc>
          <w:tcPr>
            <w:tcW w:w="2835" w:type="dxa"/>
            <w:tcBorders>
              <w:top w:val="nil"/>
              <w:left w:val="nil"/>
              <w:bottom w:val="nil"/>
              <w:right w:val="nil"/>
            </w:tcBorders>
            <w:shd w:val="clear" w:color="000000" w:fill="F2F2F2"/>
            <w:vAlign w:val="bottom"/>
            <w:hideMark/>
          </w:tcPr>
          <w:p w:rsidR="000F032F" w:rsidRDefault="000F032F" w:rsidP="000F032F">
            <w:pPr>
              <w:rPr>
                <w:rFonts w:ascii="Tahoma" w:hAnsi="Tahoma" w:cs="Tahoma"/>
                <w:b/>
                <w:bCs/>
                <w:sz w:val="18"/>
                <w:szCs w:val="18"/>
              </w:rPr>
            </w:pPr>
            <w:r>
              <w:rPr>
                <w:rFonts w:ascii="Tahoma" w:hAnsi="Tahoma" w:cs="Tahoma"/>
                <w:b/>
                <w:bCs/>
                <w:sz w:val="18"/>
                <w:szCs w:val="18"/>
              </w:rPr>
              <w:t>Χρήση 01.01.17 - 31.12.17</w:t>
            </w:r>
          </w:p>
        </w:tc>
        <w:tc>
          <w:tcPr>
            <w:tcW w:w="1246" w:type="dxa"/>
            <w:tcBorders>
              <w:top w:val="nil"/>
              <w:left w:val="nil"/>
              <w:bottom w:val="nil"/>
              <w:right w:val="nil"/>
            </w:tcBorders>
            <w:shd w:val="clear" w:color="000000" w:fill="F2F2F2"/>
            <w:noWrap/>
            <w:vAlign w:val="bottom"/>
            <w:hideMark/>
          </w:tcPr>
          <w:p w:rsidR="000F032F" w:rsidRDefault="000F032F" w:rsidP="000F032F">
            <w:pPr>
              <w:jc w:val="center"/>
              <w:rPr>
                <w:rFonts w:ascii="Tahoma" w:hAnsi="Tahoma" w:cs="Tahoma"/>
                <w:b/>
                <w:bCs/>
                <w:sz w:val="18"/>
                <w:szCs w:val="18"/>
              </w:rPr>
            </w:pPr>
            <w:r>
              <w:rPr>
                <w:rFonts w:ascii="Tahoma" w:hAnsi="Tahoma" w:cs="Tahoma"/>
                <w:b/>
                <w:bCs/>
                <w:sz w:val="18"/>
                <w:szCs w:val="18"/>
              </w:rPr>
              <w:t> </w:t>
            </w:r>
            <w:r w:rsidR="004C29FD">
              <w:rPr>
                <w:rFonts w:ascii="Tahoma" w:hAnsi="Tahoma" w:cs="Tahoma"/>
                <w:b/>
                <w:bCs/>
                <w:sz w:val="18"/>
                <w:szCs w:val="18"/>
              </w:rPr>
              <w:t>Οικόπεδα</w:t>
            </w:r>
          </w:p>
        </w:tc>
        <w:tc>
          <w:tcPr>
            <w:tcW w:w="1417" w:type="dxa"/>
            <w:tcBorders>
              <w:top w:val="nil"/>
              <w:left w:val="nil"/>
              <w:bottom w:val="nil"/>
              <w:right w:val="nil"/>
            </w:tcBorders>
            <w:shd w:val="clear" w:color="000000" w:fill="F2F2F2"/>
            <w:noWrap/>
            <w:vAlign w:val="bottom"/>
            <w:hideMark/>
          </w:tcPr>
          <w:p w:rsidR="004C29FD" w:rsidRDefault="000F032F" w:rsidP="000F032F">
            <w:pPr>
              <w:jc w:val="center"/>
              <w:rPr>
                <w:rFonts w:ascii="Tahoma" w:hAnsi="Tahoma" w:cs="Tahoma"/>
                <w:b/>
                <w:bCs/>
                <w:sz w:val="18"/>
                <w:szCs w:val="18"/>
              </w:rPr>
            </w:pPr>
            <w:r>
              <w:rPr>
                <w:rFonts w:ascii="Tahoma" w:hAnsi="Tahoma" w:cs="Tahoma"/>
                <w:b/>
                <w:bCs/>
                <w:sz w:val="18"/>
                <w:szCs w:val="18"/>
              </w:rPr>
              <w:t> </w:t>
            </w:r>
          </w:p>
          <w:p w:rsidR="000F032F" w:rsidRDefault="004C29FD" w:rsidP="004C29FD">
            <w:pPr>
              <w:jc w:val="center"/>
              <w:rPr>
                <w:rFonts w:ascii="Tahoma" w:hAnsi="Tahoma" w:cs="Tahoma"/>
                <w:b/>
                <w:bCs/>
                <w:sz w:val="18"/>
                <w:szCs w:val="18"/>
              </w:rPr>
            </w:pPr>
            <w:r>
              <w:rPr>
                <w:rFonts w:ascii="Tahoma" w:hAnsi="Tahoma" w:cs="Tahoma"/>
                <w:b/>
                <w:bCs/>
                <w:sz w:val="18"/>
                <w:szCs w:val="18"/>
              </w:rPr>
              <w:t>εγκατ/σεις</w:t>
            </w:r>
          </w:p>
        </w:tc>
        <w:tc>
          <w:tcPr>
            <w:tcW w:w="1417" w:type="dxa"/>
            <w:tcBorders>
              <w:top w:val="nil"/>
              <w:left w:val="nil"/>
              <w:bottom w:val="nil"/>
              <w:right w:val="nil"/>
            </w:tcBorders>
            <w:shd w:val="clear" w:color="000000" w:fill="F2F2F2"/>
            <w:noWrap/>
            <w:vAlign w:val="bottom"/>
            <w:hideMark/>
          </w:tcPr>
          <w:p w:rsidR="000F032F" w:rsidRDefault="004C29FD" w:rsidP="004C29FD">
            <w:pPr>
              <w:jc w:val="center"/>
              <w:rPr>
                <w:rFonts w:ascii="Tahoma" w:hAnsi="Tahoma" w:cs="Tahoma"/>
                <w:b/>
                <w:bCs/>
                <w:sz w:val="18"/>
                <w:szCs w:val="18"/>
              </w:rPr>
            </w:pPr>
            <w:r>
              <w:rPr>
                <w:rFonts w:ascii="Tahoma" w:hAnsi="Tahoma" w:cs="Tahoma"/>
                <w:b/>
                <w:bCs/>
                <w:sz w:val="18"/>
                <w:szCs w:val="18"/>
              </w:rPr>
              <w:t>εξοπλισμός</w:t>
            </w:r>
          </w:p>
        </w:tc>
        <w:tc>
          <w:tcPr>
            <w:tcW w:w="1246" w:type="dxa"/>
            <w:tcBorders>
              <w:top w:val="nil"/>
              <w:left w:val="nil"/>
              <w:bottom w:val="nil"/>
              <w:right w:val="nil"/>
            </w:tcBorders>
            <w:shd w:val="clear" w:color="000000" w:fill="F2F2F2"/>
            <w:noWrap/>
            <w:vAlign w:val="bottom"/>
            <w:hideMark/>
          </w:tcPr>
          <w:p w:rsidR="004C29FD" w:rsidRDefault="000F032F" w:rsidP="000F032F">
            <w:pPr>
              <w:jc w:val="center"/>
              <w:rPr>
                <w:rFonts w:ascii="Tahoma" w:hAnsi="Tahoma" w:cs="Tahoma"/>
                <w:b/>
                <w:bCs/>
                <w:sz w:val="18"/>
                <w:szCs w:val="18"/>
              </w:rPr>
            </w:pPr>
            <w:r>
              <w:rPr>
                <w:rFonts w:ascii="Tahoma" w:hAnsi="Tahoma" w:cs="Tahoma"/>
                <w:b/>
                <w:bCs/>
                <w:sz w:val="18"/>
                <w:szCs w:val="18"/>
              </w:rPr>
              <w:t> </w:t>
            </w:r>
          </w:p>
          <w:p w:rsidR="000F032F" w:rsidRDefault="004C29FD" w:rsidP="004C29FD">
            <w:pPr>
              <w:jc w:val="center"/>
              <w:rPr>
                <w:rFonts w:ascii="Tahoma" w:hAnsi="Tahoma" w:cs="Tahoma"/>
                <w:b/>
                <w:bCs/>
                <w:sz w:val="18"/>
                <w:szCs w:val="18"/>
              </w:rPr>
            </w:pPr>
            <w:r>
              <w:rPr>
                <w:rFonts w:ascii="Tahoma" w:hAnsi="Tahoma" w:cs="Tahoma"/>
                <w:b/>
                <w:bCs/>
                <w:sz w:val="18"/>
                <w:szCs w:val="18"/>
              </w:rPr>
              <w:t>μέσ</w:t>
            </w:r>
            <w:r>
              <w:rPr>
                <w:rFonts w:ascii="Tahoma" w:hAnsi="Tahoma" w:cs="Tahoma"/>
                <w:b/>
                <w:bCs/>
                <w:sz w:val="18"/>
                <w:szCs w:val="18"/>
              </w:rPr>
              <w:t>α</w:t>
            </w:r>
          </w:p>
        </w:tc>
        <w:tc>
          <w:tcPr>
            <w:tcW w:w="1256" w:type="dxa"/>
            <w:tcBorders>
              <w:top w:val="nil"/>
              <w:left w:val="nil"/>
              <w:bottom w:val="nil"/>
              <w:right w:val="nil"/>
            </w:tcBorders>
            <w:shd w:val="clear" w:color="000000" w:fill="F2F2F2"/>
            <w:noWrap/>
            <w:vAlign w:val="bottom"/>
            <w:hideMark/>
          </w:tcPr>
          <w:p w:rsidR="000F032F" w:rsidRDefault="004C29FD" w:rsidP="004C29FD">
            <w:pPr>
              <w:jc w:val="center"/>
              <w:rPr>
                <w:rFonts w:ascii="Tahoma" w:hAnsi="Tahoma" w:cs="Tahoma"/>
                <w:b/>
                <w:bCs/>
                <w:sz w:val="18"/>
                <w:szCs w:val="18"/>
              </w:rPr>
            </w:pPr>
            <w:r>
              <w:rPr>
                <w:rFonts w:ascii="Tahoma" w:hAnsi="Tahoma" w:cs="Tahoma"/>
                <w:b/>
                <w:bCs/>
                <w:sz w:val="18"/>
                <w:szCs w:val="18"/>
              </w:rPr>
              <w:t>λοιπός εξ/σμός</w:t>
            </w:r>
            <w:r w:rsidR="000F032F">
              <w:rPr>
                <w:rFonts w:ascii="Tahoma" w:hAnsi="Tahoma" w:cs="Tahoma"/>
                <w:b/>
                <w:bCs/>
                <w:sz w:val="18"/>
                <w:szCs w:val="18"/>
              </w:rPr>
              <w:t> </w:t>
            </w:r>
          </w:p>
        </w:tc>
        <w:tc>
          <w:tcPr>
            <w:tcW w:w="1417" w:type="dxa"/>
            <w:tcBorders>
              <w:top w:val="nil"/>
              <w:left w:val="nil"/>
              <w:bottom w:val="nil"/>
              <w:right w:val="nil"/>
            </w:tcBorders>
            <w:shd w:val="clear" w:color="000000" w:fill="F2F2F2"/>
            <w:noWrap/>
            <w:vAlign w:val="bottom"/>
            <w:hideMark/>
          </w:tcPr>
          <w:p w:rsidR="000F032F" w:rsidRDefault="004C29FD" w:rsidP="004C29FD">
            <w:pPr>
              <w:jc w:val="center"/>
              <w:rPr>
                <w:rFonts w:ascii="Tahoma" w:hAnsi="Tahoma" w:cs="Tahoma"/>
                <w:b/>
                <w:bCs/>
                <w:sz w:val="18"/>
                <w:szCs w:val="18"/>
              </w:rPr>
            </w:pPr>
            <w:r>
              <w:rPr>
                <w:rFonts w:ascii="Tahoma" w:hAnsi="Tahoma" w:cs="Tahoma"/>
                <w:b/>
                <w:bCs/>
                <w:sz w:val="18"/>
                <w:szCs w:val="18"/>
              </w:rPr>
              <w:t>Σύνολο</w:t>
            </w:r>
            <w:bookmarkStart w:id="25" w:name="_GoBack"/>
            <w:bookmarkEnd w:id="25"/>
            <w:r w:rsidR="000F032F">
              <w:rPr>
                <w:rFonts w:ascii="Tahoma" w:hAnsi="Tahoma" w:cs="Tahoma"/>
                <w:b/>
                <w:bCs/>
                <w:sz w:val="18"/>
                <w:szCs w:val="18"/>
              </w:rPr>
              <w:t> </w:t>
            </w:r>
          </w:p>
        </w:tc>
      </w:tr>
      <w:tr w:rsidR="000F032F" w:rsidTr="000F032F">
        <w:trPr>
          <w:trHeight w:val="360"/>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Απογραφή 01.01.2017</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194.911,76</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3.145.231,00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2.557.778,53</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284.144,23</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525.682,70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6.707.748,22</w:t>
            </w:r>
          </w:p>
        </w:tc>
      </w:tr>
      <w:tr w:rsidR="000F032F" w:rsidTr="000F032F">
        <w:trPr>
          <w:trHeight w:val="360"/>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Προσθήκες (01.01.17 - 31.12.17)</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63.448,18</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11.973,04</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75.421,22</w:t>
            </w:r>
          </w:p>
        </w:tc>
      </w:tr>
      <w:tr w:rsidR="000F032F" w:rsidTr="000F032F">
        <w:trPr>
          <w:trHeight w:val="360"/>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Μειώσεις (01.01.17 - 31.12.17)</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(10.718,44)</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(13.349,98)</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(24.506,67)</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(34.746,80)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(83.321,89)</w:t>
            </w:r>
          </w:p>
        </w:tc>
      </w:tr>
      <w:tr w:rsidR="000F032F" w:rsidTr="000F032F">
        <w:trPr>
          <w:trHeight w:val="360"/>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Υπόλοιπο 31.12.2017</w:t>
            </w:r>
          </w:p>
        </w:tc>
        <w:tc>
          <w:tcPr>
            <w:tcW w:w="1246"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194.911,76</w:t>
            </w:r>
          </w:p>
        </w:tc>
        <w:tc>
          <w:tcPr>
            <w:tcW w:w="1417"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3.134.512,56</w:t>
            </w:r>
          </w:p>
        </w:tc>
        <w:tc>
          <w:tcPr>
            <w:tcW w:w="1417"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2.607.876,73</w:t>
            </w:r>
          </w:p>
        </w:tc>
        <w:tc>
          <w:tcPr>
            <w:tcW w:w="1246"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259.637,56</w:t>
            </w:r>
          </w:p>
        </w:tc>
        <w:tc>
          <w:tcPr>
            <w:tcW w:w="1256"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502.908,94</w:t>
            </w:r>
          </w:p>
        </w:tc>
        <w:tc>
          <w:tcPr>
            <w:tcW w:w="1417"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6.699.847,55</w:t>
            </w:r>
          </w:p>
        </w:tc>
      </w:tr>
      <w:tr w:rsidR="000F032F" w:rsidTr="000F032F">
        <w:trPr>
          <w:trHeight w:val="360"/>
        </w:trPr>
        <w:tc>
          <w:tcPr>
            <w:tcW w:w="2835"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b/>
                <w:bCs/>
                <w:sz w:val="18"/>
                <w:szCs w:val="18"/>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5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r>
      <w:tr w:rsidR="000F032F" w:rsidTr="000F032F">
        <w:trPr>
          <w:trHeight w:val="360"/>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Συσσωρευμένες αποσβέσεις</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b/>
                <w:bCs/>
                <w:sz w:val="18"/>
                <w:szCs w:val="18"/>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5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r>
      <w:tr w:rsidR="000F032F" w:rsidTr="000F032F">
        <w:trPr>
          <w:trHeight w:val="360"/>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Απογραφή 01.01.2017</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1.060.100,38</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1.700.146,68</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152.564,42</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459.327,09</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3.372.138,57</w:t>
            </w:r>
          </w:p>
        </w:tc>
      </w:tr>
      <w:tr w:rsidR="000F032F" w:rsidTr="000F032F">
        <w:trPr>
          <w:trHeight w:val="360"/>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Προσθήκες (01.01.17 - 31.12.17)</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125.380,50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115.152,97</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20.994,88</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19.747,03</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281.275,38</w:t>
            </w:r>
          </w:p>
        </w:tc>
      </w:tr>
      <w:tr w:rsidR="000F032F" w:rsidTr="000F032F">
        <w:trPr>
          <w:trHeight w:val="360"/>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Μειώσεις (01.01.17 - 31.12.17)</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(10.718,44)</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(11.098,95)</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14.549,29</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(34.745,11)</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(42.013,21)</w:t>
            </w:r>
          </w:p>
        </w:tc>
      </w:tr>
      <w:tr w:rsidR="000F032F" w:rsidTr="000F032F">
        <w:trPr>
          <w:trHeight w:val="360"/>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Υπόλοιπο 31.12.2017</w:t>
            </w:r>
          </w:p>
        </w:tc>
        <w:tc>
          <w:tcPr>
            <w:tcW w:w="1246"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0,00</w:t>
            </w:r>
          </w:p>
        </w:tc>
        <w:tc>
          <w:tcPr>
            <w:tcW w:w="1417"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1.174.762,44</w:t>
            </w:r>
          </w:p>
        </w:tc>
        <w:tc>
          <w:tcPr>
            <w:tcW w:w="1417"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1.804.200,70</w:t>
            </w:r>
          </w:p>
        </w:tc>
        <w:tc>
          <w:tcPr>
            <w:tcW w:w="1246"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188.108,59</w:t>
            </w:r>
          </w:p>
        </w:tc>
        <w:tc>
          <w:tcPr>
            <w:tcW w:w="1256"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444.329,01</w:t>
            </w:r>
          </w:p>
        </w:tc>
        <w:tc>
          <w:tcPr>
            <w:tcW w:w="1417"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3.611.400,74</w:t>
            </w:r>
          </w:p>
        </w:tc>
      </w:tr>
      <w:tr w:rsidR="000F032F" w:rsidTr="000F032F">
        <w:trPr>
          <w:trHeight w:val="360"/>
        </w:trPr>
        <w:tc>
          <w:tcPr>
            <w:tcW w:w="2835"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b/>
                <w:bCs/>
                <w:sz w:val="18"/>
                <w:szCs w:val="18"/>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5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r>
      <w:tr w:rsidR="000F032F" w:rsidTr="000F032F">
        <w:trPr>
          <w:trHeight w:val="360"/>
        </w:trPr>
        <w:tc>
          <w:tcPr>
            <w:tcW w:w="2835" w:type="dxa"/>
            <w:tcBorders>
              <w:top w:val="nil"/>
              <w:left w:val="nil"/>
              <w:bottom w:val="nil"/>
              <w:right w:val="nil"/>
            </w:tcBorders>
            <w:shd w:val="clear" w:color="auto" w:fill="auto"/>
            <w:vAlign w:val="bottom"/>
            <w:hideMark/>
          </w:tcPr>
          <w:p w:rsidR="000F032F" w:rsidRDefault="000F032F" w:rsidP="000F032F">
            <w:pPr>
              <w:rPr>
                <w:rFonts w:ascii="Tahoma" w:hAnsi="Tahoma" w:cs="Tahoma"/>
                <w:b/>
                <w:bCs/>
                <w:sz w:val="18"/>
                <w:szCs w:val="18"/>
              </w:rPr>
            </w:pPr>
            <w:r>
              <w:rPr>
                <w:rFonts w:ascii="Tahoma" w:hAnsi="Tahoma" w:cs="Tahoma"/>
                <w:b/>
                <w:bCs/>
                <w:sz w:val="18"/>
                <w:szCs w:val="18"/>
              </w:rPr>
              <w:t>Αναπόσβεστη αξία</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b/>
                <w:bCs/>
                <w:sz w:val="18"/>
                <w:szCs w:val="18"/>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5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r>
      <w:tr w:rsidR="000F032F" w:rsidTr="000F032F">
        <w:trPr>
          <w:trHeight w:val="360"/>
        </w:trPr>
        <w:tc>
          <w:tcPr>
            <w:tcW w:w="2835" w:type="dxa"/>
            <w:tcBorders>
              <w:top w:val="nil"/>
              <w:left w:val="nil"/>
              <w:bottom w:val="nil"/>
              <w:right w:val="nil"/>
            </w:tcBorders>
            <w:shd w:val="clear" w:color="auto" w:fill="auto"/>
            <w:vAlign w:val="bottom"/>
            <w:hideMark/>
          </w:tcPr>
          <w:p w:rsidR="000F032F" w:rsidRDefault="000F032F" w:rsidP="000F032F">
            <w:pPr>
              <w:rPr>
                <w:rFonts w:ascii="Tahoma" w:hAnsi="Tahoma" w:cs="Tahoma"/>
                <w:sz w:val="18"/>
                <w:szCs w:val="18"/>
              </w:rPr>
            </w:pPr>
            <w:r>
              <w:rPr>
                <w:rFonts w:ascii="Tahoma" w:hAnsi="Tahoma" w:cs="Tahoma"/>
                <w:sz w:val="18"/>
                <w:szCs w:val="18"/>
              </w:rPr>
              <w:t xml:space="preserve">Κατά την </w:t>
            </w:r>
            <w:r>
              <w:rPr>
                <w:rFonts w:ascii="Tahoma" w:hAnsi="Tahoma" w:cs="Tahoma"/>
                <w:b/>
                <w:bCs/>
                <w:sz w:val="18"/>
                <w:szCs w:val="18"/>
              </w:rPr>
              <w:t>01.01.2017</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194.911,76</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2.085.130,62</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857.631,85</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131.579,81</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66.355,61</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3.335.609,65</w:t>
            </w:r>
          </w:p>
        </w:tc>
      </w:tr>
      <w:tr w:rsidR="000F032F" w:rsidTr="000F032F">
        <w:trPr>
          <w:trHeight w:val="360"/>
        </w:trPr>
        <w:tc>
          <w:tcPr>
            <w:tcW w:w="2835" w:type="dxa"/>
            <w:tcBorders>
              <w:top w:val="nil"/>
              <w:left w:val="nil"/>
              <w:bottom w:val="nil"/>
              <w:right w:val="nil"/>
            </w:tcBorders>
            <w:shd w:val="clear" w:color="auto" w:fill="auto"/>
            <w:vAlign w:val="bottom"/>
            <w:hideMark/>
          </w:tcPr>
          <w:p w:rsidR="000F032F" w:rsidRDefault="000F032F" w:rsidP="000F032F">
            <w:pPr>
              <w:rPr>
                <w:rFonts w:ascii="Tahoma" w:hAnsi="Tahoma" w:cs="Tahoma"/>
                <w:sz w:val="18"/>
                <w:szCs w:val="18"/>
              </w:rPr>
            </w:pPr>
            <w:r>
              <w:rPr>
                <w:rFonts w:ascii="Tahoma" w:hAnsi="Tahoma" w:cs="Tahoma"/>
                <w:sz w:val="18"/>
                <w:szCs w:val="18"/>
              </w:rPr>
              <w:t xml:space="preserve">Κατά την </w:t>
            </w:r>
            <w:r>
              <w:rPr>
                <w:rFonts w:ascii="Tahoma" w:hAnsi="Tahoma" w:cs="Tahoma"/>
                <w:b/>
                <w:bCs/>
                <w:sz w:val="18"/>
                <w:szCs w:val="18"/>
              </w:rPr>
              <w:t>31.12.2017</w:t>
            </w:r>
          </w:p>
        </w:tc>
        <w:tc>
          <w:tcPr>
            <w:tcW w:w="1246"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194.911,76</w:t>
            </w:r>
          </w:p>
        </w:tc>
        <w:tc>
          <w:tcPr>
            <w:tcW w:w="1417"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1.959.750,12</w:t>
            </w:r>
          </w:p>
        </w:tc>
        <w:tc>
          <w:tcPr>
            <w:tcW w:w="1417"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803.676,03</w:t>
            </w:r>
          </w:p>
        </w:tc>
        <w:tc>
          <w:tcPr>
            <w:tcW w:w="1246"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71.528,97</w:t>
            </w:r>
          </w:p>
        </w:tc>
        <w:tc>
          <w:tcPr>
            <w:tcW w:w="1256"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58.579,93</w:t>
            </w:r>
          </w:p>
        </w:tc>
        <w:tc>
          <w:tcPr>
            <w:tcW w:w="1417"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3.088.446,81</w:t>
            </w:r>
          </w:p>
        </w:tc>
      </w:tr>
      <w:tr w:rsidR="000F032F" w:rsidTr="000F032F">
        <w:trPr>
          <w:trHeight w:val="360"/>
        </w:trPr>
        <w:tc>
          <w:tcPr>
            <w:tcW w:w="2835" w:type="dxa"/>
            <w:tcBorders>
              <w:top w:val="nil"/>
              <w:left w:val="nil"/>
              <w:bottom w:val="single" w:sz="8" w:space="0" w:color="auto"/>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 </w:t>
            </w:r>
          </w:p>
        </w:tc>
        <w:tc>
          <w:tcPr>
            <w:tcW w:w="1246" w:type="dxa"/>
            <w:tcBorders>
              <w:top w:val="nil"/>
              <w:left w:val="nil"/>
              <w:bottom w:val="single" w:sz="8" w:space="0" w:color="auto"/>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w:t>
            </w:r>
          </w:p>
        </w:tc>
        <w:tc>
          <w:tcPr>
            <w:tcW w:w="1417" w:type="dxa"/>
            <w:tcBorders>
              <w:top w:val="nil"/>
              <w:left w:val="nil"/>
              <w:bottom w:val="single" w:sz="8" w:space="0" w:color="auto"/>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w:t>
            </w:r>
          </w:p>
        </w:tc>
        <w:tc>
          <w:tcPr>
            <w:tcW w:w="1417" w:type="dxa"/>
            <w:tcBorders>
              <w:top w:val="nil"/>
              <w:left w:val="nil"/>
              <w:bottom w:val="single" w:sz="8" w:space="0" w:color="auto"/>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w:t>
            </w:r>
          </w:p>
        </w:tc>
        <w:tc>
          <w:tcPr>
            <w:tcW w:w="1246" w:type="dxa"/>
            <w:tcBorders>
              <w:top w:val="nil"/>
              <w:left w:val="nil"/>
              <w:bottom w:val="single" w:sz="8" w:space="0" w:color="auto"/>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w:t>
            </w:r>
          </w:p>
        </w:tc>
        <w:tc>
          <w:tcPr>
            <w:tcW w:w="1256" w:type="dxa"/>
            <w:tcBorders>
              <w:top w:val="nil"/>
              <w:left w:val="nil"/>
              <w:bottom w:val="single" w:sz="8" w:space="0" w:color="auto"/>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w:t>
            </w:r>
          </w:p>
        </w:tc>
        <w:tc>
          <w:tcPr>
            <w:tcW w:w="1417" w:type="dxa"/>
            <w:tcBorders>
              <w:top w:val="nil"/>
              <w:left w:val="nil"/>
              <w:bottom w:val="single" w:sz="8" w:space="0" w:color="auto"/>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w:t>
            </w:r>
          </w:p>
        </w:tc>
      </w:tr>
      <w:tr w:rsidR="000F032F" w:rsidTr="000F032F">
        <w:trPr>
          <w:trHeight w:val="282"/>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sz w:val="18"/>
                <w:szCs w:val="18"/>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5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r>
      <w:tr w:rsidR="000F032F" w:rsidTr="000F032F">
        <w:trPr>
          <w:trHeight w:val="282"/>
        </w:trPr>
        <w:tc>
          <w:tcPr>
            <w:tcW w:w="2835" w:type="dxa"/>
            <w:tcBorders>
              <w:top w:val="nil"/>
              <w:left w:val="nil"/>
              <w:bottom w:val="nil"/>
              <w:right w:val="nil"/>
            </w:tcBorders>
            <w:shd w:val="clear" w:color="000000" w:fill="F2F2F2"/>
            <w:vAlign w:val="bottom"/>
            <w:hideMark/>
          </w:tcPr>
          <w:p w:rsidR="000F032F" w:rsidRDefault="000F032F" w:rsidP="000F032F">
            <w:pPr>
              <w:rPr>
                <w:rFonts w:ascii="Tahoma" w:hAnsi="Tahoma" w:cs="Tahoma"/>
                <w:b/>
                <w:bCs/>
                <w:sz w:val="18"/>
                <w:szCs w:val="18"/>
              </w:rPr>
            </w:pPr>
            <w:r>
              <w:rPr>
                <w:rFonts w:ascii="Tahoma" w:hAnsi="Tahoma" w:cs="Tahoma"/>
                <w:b/>
                <w:bCs/>
                <w:sz w:val="18"/>
                <w:szCs w:val="18"/>
              </w:rPr>
              <w:t xml:space="preserve">Αξία κτήσεως ή αποτίμησης  </w:t>
            </w:r>
          </w:p>
        </w:tc>
        <w:tc>
          <w:tcPr>
            <w:tcW w:w="1246" w:type="dxa"/>
            <w:tcBorders>
              <w:top w:val="nil"/>
              <w:left w:val="nil"/>
              <w:bottom w:val="nil"/>
              <w:right w:val="nil"/>
            </w:tcBorders>
            <w:shd w:val="clear" w:color="000000" w:fill="F2F2F2"/>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 </w:t>
            </w:r>
          </w:p>
        </w:tc>
        <w:tc>
          <w:tcPr>
            <w:tcW w:w="1417" w:type="dxa"/>
            <w:tcBorders>
              <w:top w:val="nil"/>
              <w:left w:val="nil"/>
              <w:bottom w:val="nil"/>
              <w:right w:val="nil"/>
            </w:tcBorders>
            <w:shd w:val="clear" w:color="000000" w:fill="F2F2F2"/>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 </w:t>
            </w:r>
          </w:p>
        </w:tc>
        <w:tc>
          <w:tcPr>
            <w:tcW w:w="1417" w:type="dxa"/>
            <w:tcBorders>
              <w:top w:val="nil"/>
              <w:left w:val="nil"/>
              <w:bottom w:val="nil"/>
              <w:right w:val="nil"/>
            </w:tcBorders>
            <w:shd w:val="clear" w:color="000000" w:fill="F2F2F2"/>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 </w:t>
            </w:r>
          </w:p>
        </w:tc>
        <w:tc>
          <w:tcPr>
            <w:tcW w:w="1246" w:type="dxa"/>
            <w:tcBorders>
              <w:top w:val="nil"/>
              <w:left w:val="nil"/>
              <w:bottom w:val="nil"/>
              <w:right w:val="nil"/>
            </w:tcBorders>
            <w:shd w:val="clear" w:color="000000" w:fill="F2F2F2"/>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 </w:t>
            </w:r>
          </w:p>
        </w:tc>
        <w:tc>
          <w:tcPr>
            <w:tcW w:w="1256" w:type="dxa"/>
            <w:tcBorders>
              <w:top w:val="nil"/>
              <w:left w:val="nil"/>
              <w:bottom w:val="nil"/>
              <w:right w:val="nil"/>
            </w:tcBorders>
            <w:shd w:val="clear" w:color="000000" w:fill="F2F2F2"/>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 </w:t>
            </w:r>
          </w:p>
        </w:tc>
        <w:tc>
          <w:tcPr>
            <w:tcW w:w="1417" w:type="dxa"/>
            <w:tcBorders>
              <w:top w:val="nil"/>
              <w:left w:val="nil"/>
              <w:bottom w:val="nil"/>
              <w:right w:val="nil"/>
            </w:tcBorders>
            <w:shd w:val="clear" w:color="000000" w:fill="F2F2F2"/>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w:t>
            </w:r>
          </w:p>
        </w:tc>
      </w:tr>
      <w:tr w:rsidR="000F032F" w:rsidTr="000F032F">
        <w:trPr>
          <w:trHeight w:val="282"/>
        </w:trPr>
        <w:tc>
          <w:tcPr>
            <w:tcW w:w="2835" w:type="dxa"/>
            <w:tcBorders>
              <w:top w:val="nil"/>
              <w:left w:val="nil"/>
              <w:bottom w:val="nil"/>
              <w:right w:val="nil"/>
            </w:tcBorders>
            <w:shd w:val="clear" w:color="000000" w:fill="F2F2F2"/>
            <w:vAlign w:val="bottom"/>
            <w:hideMark/>
          </w:tcPr>
          <w:p w:rsidR="000F032F" w:rsidRDefault="000F032F" w:rsidP="000F032F">
            <w:pPr>
              <w:rPr>
                <w:rFonts w:ascii="Tahoma" w:hAnsi="Tahoma" w:cs="Tahoma"/>
                <w:b/>
                <w:bCs/>
                <w:sz w:val="18"/>
                <w:szCs w:val="18"/>
              </w:rPr>
            </w:pPr>
            <w:r>
              <w:rPr>
                <w:rFonts w:ascii="Tahoma" w:hAnsi="Tahoma" w:cs="Tahoma"/>
                <w:b/>
                <w:bCs/>
                <w:sz w:val="18"/>
                <w:szCs w:val="18"/>
              </w:rPr>
              <w:t>Χρήση 01.01.18 - 31.12.18</w:t>
            </w:r>
          </w:p>
        </w:tc>
        <w:tc>
          <w:tcPr>
            <w:tcW w:w="1246" w:type="dxa"/>
            <w:tcBorders>
              <w:top w:val="nil"/>
              <w:left w:val="nil"/>
              <w:bottom w:val="nil"/>
              <w:right w:val="nil"/>
            </w:tcBorders>
            <w:shd w:val="clear" w:color="000000" w:fill="F2F2F2"/>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 </w:t>
            </w:r>
          </w:p>
        </w:tc>
        <w:tc>
          <w:tcPr>
            <w:tcW w:w="1417" w:type="dxa"/>
            <w:tcBorders>
              <w:top w:val="nil"/>
              <w:left w:val="nil"/>
              <w:bottom w:val="nil"/>
              <w:right w:val="nil"/>
            </w:tcBorders>
            <w:shd w:val="clear" w:color="000000" w:fill="F2F2F2"/>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 </w:t>
            </w:r>
          </w:p>
        </w:tc>
        <w:tc>
          <w:tcPr>
            <w:tcW w:w="1417" w:type="dxa"/>
            <w:tcBorders>
              <w:top w:val="nil"/>
              <w:left w:val="nil"/>
              <w:bottom w:val="nil"/>
              <w:right w:val="nil"/>
            </w:tcBorders>
            <w:shd w:val="clear" w:color="000000" w:fill="F2F2F2"/>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 </w:t>
            </w:r>
          </w:p>
        </w:tc>
        <w:tc>
          <w:tcPr>
            <w:tcW w:w="1246" w:type="dxa"/>
            <w:tcBorders>
              <w:top w:val="nil"/>
              <w:left w:val="nil"/>
              <w:bottom w:val="nil"/>
              <w:right w:val="nil"/>
            </w:tcBorders>
            <w:shd w:val="clear" w:color="000000" w:fill="F2F2F2"/>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 </w:t>
            </w:r>
          </w:p>
        </w:tc>
        <w:tc>
          <w:tcPr>
            <w:tcW w:w="1256" w:type="dxa"/>
            <w:tcBorders>
              <w:top w:val="nil"/>
              <w:left w:val="nil"/>
              <w:bottom w:val="nil"/>
              <w:right w:val="nil"/>
            </w:tcBorders>
            <w:shd w:val="clear" w:color="000000" w:fill="F2F2F2"/>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 </w:t>
            </w:r>
          </w:p>
        </w:tc>
        <w:tc>
          <w:tcPr>
            <w:tcW w:w="1417" w:type="dxa"/>
            <w:tcBorders>
              <w:top w:val="nil"/>
              <w:left w:val="nil"/>
              <w:bottom w:val="nil"/>
              <w:right w:val="nil"/>
            </w:tcBorders>
            <w:shd w:val="clear" w:color="000000" w:fill="F2F2F2"/>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 </w:t>
            </w:r>
          </w:p>
        </w:tc>
      </w:tr>
      <w:tr w:rsidR="000F032F" w:rsidTr="000F032F">
        <w:trPr>
          <w:trHeight w:val="282"/>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Απογραφή 01.01.2018</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194.911,76</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3.134.512,56</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2.607.876,73</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259.637,56</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502.908,94</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6.699.847,55</w:t>
            </w:r>
          </w:p>
        </w:tc>
      </w:tr>
      <w:tr w:rsidR="000F032F" w:rsidTr="000F032F">
        <w:trPr>
          <w:trHeight w:val="282"/>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Προσθήκες (01.01.18 - 31.12.18)</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59.599,46</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47.800,00</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20.066,66</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127.466,12</w:t>
            </w:r>
          </w:p>
        </w:tc>
      </w:tr>
      <w:tr w:rsidR="000F032F" w:rsidTr="000F032F">
        <w:trPr>
          <w:trHeight w:val="282"/>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Μειώσεις (01.01.18 - 31.12.18)</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(7.188,18)</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(86.782,99)</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(93.971,17)</w:t>
            </w:r>
          </w:p>
        </w:tc>
      </w:tr>
      <w:tr w:rsidR="000F032F" w:rsidTr="000F032F">
        <w:trPr>
          <w:trHeight w:val="282"/>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Υπόλοιπο 31.12.2018</w:t>
            </w:r>
          </w:p>
        </w:tc>
        <w:tc>
          <w:tcPr>
            <w:tcW w:w="1246"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194.911,76</w:t>
            </w:r>
          </w:p>
        </w:tc>
        <w:tc>
          <w:tcPr>
            <w:tcW w:w="1417"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3.134.512,56</w:t>
            </w:r>
          </w:p>
        </w:tc>
        <w:tc>
          <w:tcPr>
            <w:tcW w:w="1417"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2.660.288,01</w:t>
            </w:r>
          </w:p>
        </w:tc>
        <w:tc>
          <w:tcPr>
            <w:tcW w:w="1246"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220.654,57</w:t>
            </w:r>
          </w:p>
        </w:tc>
        <w:tc>
          <w:tcPr>
            <w:tcW w:w="1256"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522.975,60</w:t>
            </w:r>
          </w:p>
        </w:tc>
        <w:tc>
          <w:tcPr>
            <w:tcW w:w="1417"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6.733.342,50</w:t>
            </w:r>
          </w:p>
        </w:tc>
      </w:tr>
      <w:tr w:rsidR="000F032F" w:rsidTr="000F032F">
        <w:trPr>
          <w:trHeight w:val="282"/>
        </w:trPr>
        <w:tc>
          <w:tcPr>
            <w:tcW w:w="2835"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b/>
                <w:bCs/>
                <w:sz w:val="18"/>
                <w:szCs w:val="18"/>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5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r>
      <w:tr w:rsidR="000F032F" w:rsidTr="000F032F">
        <w:trPr>
          <w:trHeight w:val="282"/>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Συσσωρευμένες αποσβέσεις</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b/>
                <w:bCs/>
                <w:sz w:val="18"/>
                <w:szCs w:val="18"/>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5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r>
      <w:tr w:rsidR="000F032F" w:rsidTr="000F032F">
        <w:trPr>
          <w:trHeight w:val="282"/>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Απογραφή 01.01.2018</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1.174.762,44</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1.804.200,70</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188.108,59</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444.329,01</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3.611.400,74</w:t>
            </w:r>
          </w:p>
        </w:tc>
      </w:tr>
      <w:tr w:rsidR="000F032F" w:rsidTr="000F032F">
        <w:trPr>
          <w:trHeight w:val="282"/>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Προσθήκες (01.01.18 - 31.12.18)</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125.380,50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143.531,81</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18.903,36</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25.467,98</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313.283,65</w:t>
            </w:r>
          </w:p>
        </w:tc>
      </w:tr>
      <w:tr w:rsidR="000F032F" w:rsidTr="000F032F">
        <w:trPr>
          <w:trHeight w:val="282"/>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Μειώσεις (01.01.18 - 31.12.18)</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(5.282,17)</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(24.188,83)</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 xml:space="preserve">      (29.471,00)</w:t>
            </w:r>
          </w:p>
        </w:tc>
      </w:tr>
      <w:tr w:rsidR="000F032F" w:rsidTr="000F032F">
        <w:trPr>
          <w:trHeight w:val="282"/>
        </w:trPr>
        <w:tc>
          <w:tcPr>
            <w:tcW w:w="2835" w:type="dxa"/>
            <w:tcBorders>
              <w:top w:val="nil"/>
              <w:left w:val="nil"/>
              <w:bottom w:val="nil"/>
              <w:right w:val="nil"/>
            </w:tcBorders>
            <w:shd w:val="clear" w:color="auto" w:fill="auto"/>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Υπόλοιπο 31.12.2018</w:t>
            </w:r>
          </w:p>
        </w:tc>
        <w:tc>
          <w:tcPr>
            <w:tcW w:w="1246"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0,00</w:t>
            </w:r>
          </w:p>
        </w:tc>
        <w:tc>
          <w:tcPr>
            <w:tcW w:w="1417"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1.300.142,94</w:t>
            </w:r>
          </w:p>
        </w:tc>
        <w:tc>
          <w:tcPr>
            <w:tcW w:w="1417"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1.942.450,34</w:t>
            </w:r>
          </w:p>
        </w:tc>
        <w:tc>
          <w:tcPr>
            <w:tcW w:w="1246"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182.823,12</w:t>
            </w:r>
          </w:p>
        </w:tc>
        <w:tc>
          <w:tcPr>
            <w:tcW w:w="1256"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469.796,99</w:t>
            </w:r>
          </w:p>
        </w:tc>
        <w:tc>
          <w:tcPr>
            <w:tcW w:w="1417" w:type="dxa"/>
            <w:tcBorders>
              <w:top w:val="single" w:sz="4" w:space="0" w:color="auto"/>
              <w:left w:val="nil"/>
              <w:bottom w:val="single" w:sz="4"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3.895.213,39</w:t>
            </w:r>
          </w:p>
        </w:tc>
      </w:tr>
      <w:tr w:rsidR="000F032F" w:rsidTr="000F032F">
        <w:trPr>
          <w:trHeight w:val="282"/>
        </w:trPr>
        <w:tc>
          <w:tcPr>
            <w:tcW w:w="2835"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b/>
                <w:bCs/>
                <w:sz w:val="18"/>
                <w:szCs w:val="18"/>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5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r>
      <w:tr w:rsidR="000F032F" w:rsidTr="000F032F">
        <w:trPr>
          <w:trHeight w:val="282"/>
        </w:trPr>
        <w:tc>
          <w:tcPr>
            <w:tcW w:w="2835" w:type="dxa"/>
            <w:tcBorders>
              <w:top w:val="nil"/>
              <w:left w:val="nil"/>
              <w:bottom w:val="nil"/>
              <w:right w:val="nil"/>
            </w:tcBorders>
            <w:shd w:val="clear" w:color="auto" w:fill="auto"/>
            <w:vAlign w:val="bottom"/>
            <w:hideMark/>
          </w:tcPr>
          <w:p w:rsidR="000F032F" w:rsidRDefault="000F032F" w:rsidP="000F032F">
            <w:pPr>
              <w:rPr>
                <w:rFonts w:ascii="Tahoma" w:hAnsi="Tahoma" w:cs="Tahoma"/>
                <w:b/>
                <w:bCs/>
                <w:sz w:val="18"/>
                <w:szCs w:val="18"/>
              </w:rPr>
            </w:pPr>
            <w:r>
              <w:rPr>
                <w:rFonts w:ascii="Tahoma" w:hAnsi="Tahoma" w:cs="Tahoma"/>
                <w:b/>
                <w:bCs/>
                <w:sz w:val="18"/>
                <w:szCs w:val="18"/>
              </w:rPr>
              <w:t>Αναπόσβεστη αξία</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b/>
                <w:bCs/>
                <w:sz w:val="18"/>
                <w:szCs w:val="18"/>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4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256"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c>
          <w:tcPr>
            <w:tcW w:w="1417" w:type="dxa"/>
            <w:tcBorders>
              <w:top w:val="nil"/>
              <w:left w:val="nil"/>
              <w:bottom w:val="nil"/>
              <w:right w:val="nil"/>
            </w:tcBorders>
            <w:shd w:val="clear" w:color="auto" w:fill="auto"/>
            <w:noWrap/>
            <w:vAlign w:val="bottom"/>
            <w:hideMark/>
          </w:tcPr>
          <w:p w:rsidR="000F032F" w:rsidRDefault="000F032F" w:rsidP="000F032F">
            <w:pPr>
              <w:jc w:val="right"/>
              <w:rPr>
                <w:sz w:val="20"/>
                <w:szCs w:val="20"/>
              </w:rPr>
            </w:pPr>
          </w:p>
        </w:tc>
      </w:tr>
      <w:tr w:rsidR="000F032F" w:rsidTr="000F032F">
        <w:trPr>
          <w:trHeight w:val="282"/>
        </w:trPr>
        <w:tc>
          <w:tcPr>
            <w:tcW w:w="2835" w:type="dxa"/>
            <w:tcBorders>
              <w:top w:val="nil"/>
              <w:left w:val="nil"/>
              <w:bottom w:val="nil"/>
              <w:right w:val="nil"/>
            </w:tcBorders>
            <w:shd w:val="clear" w:color="auto" w:fill="auto"/>
            <w:vAlign w:val="bottom"/>
            <w:hideMark/>
          </w:tcPr>
          <w:p w:rsidR="000F032F" w:rsidRDefault="000F032F" w:rsidP="000F032F">
            <w:pPr>
              <w:rPr>
                <w:rFonts w:ascii="Tahoma" w:hAnsi="Tahoma" w:cs="Tahoma"/>
                <w:sz w:val="18"/>
                <w:szCs w:val="18"/>
              </w:rPr>
            </w:pPr>
            <w:r>
              <w:rPr>
                <w:rFonts w:ascii="Tahoma" w:hAnsi="Tahoma" w:cs="Tahoma"/>
                <w:sz w:val="18"/>
                <w:szCs w:val="18"/>
              </w:rPr>
              <w:t xml:space="preserve">Κατά την </w:t>
            </w:r>
            <w:r>
              <w:rPr>
                <w:rFonts w:ascii="Tahoma" w:hAnsi="Tahoma" w:cs="Tahoma"/>
                <w:b/>
                <w:bCs/>
                <w:sz w:val="18"/>
                <w:szCs w:val="18"/>
              </w:rPr>
              <w:t>01.01.2018</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194.911,76</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1.959.750,12</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803.676,03</w:t>
            </w:r>
          </w:p>
        </w:tc>
        <w:tc>
          <w:tcPr>
            <w:tcW w:w="124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71.528,97</w:t>
            </w:r>
          </w:p>
        </w:tc>
        <w:tc>
          <w:tcPr>
            <w:tcW w:w="125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58.579,93</w:t>
            </w:r>
          </w:p>
        </w:tc>
        <w:tc>
          <w:tcPr>
            <w:tcW w:w="1417"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3.088.446,81</w:t>
            </w:r>
          </w:p>
        </w:tc>
      </w:tr>
      <w:tr w:rsidR="000F032F" w:rsidTr="000F032F">
        <w:trPr>
          <w:trHeight w:val="282"/>
        </w:trPr>
        <w:tc>
          <w:tcPr>
            <w:tcW w:w="2835" w:type="dxa"/>
            <w:tcBorders>
              <w:top w:val="nil"/>
              <w:left w:val="nil"/>
              <w:bottom w:val="nil"/>
              <w:right w:val="nil"/>
            </w:tcBorders>
            <w:shd w:val="clear" w:color="auto" w:fill="auto"/>
            <w:vAlign w:val="bottom"/>
            <w:hideMark/>
          </w:tcPr>
          <w:p w:rsidR="000F032F" w:rsidRDefault="000F032F" w:rsidP="000F032F">
            <w:pPr>
              <w:rPr>
                <w:rFonts w:ascii="Tahoma" w:hAnsi="Tahoma" w:cs="Tahoma"/>
                <w:sz w:val="18"/>
                <w:szCs w:val="18"/>
              </w:rPr>
            </w:pPr>
            <w:r>
              <w:rPr>
                <w:rFonts w:ascii="Tahoma" w:hAnsi="Tahoma" w:cs="Tahoma"/>
                <w:sz w:val="18"/>
                <w:szCs w:val="18"/>
              </w:rPr>
              <w:t xml:space="preserve">Κατά την </w:t>
            </w:r>
            <w:r>
              <w:rPr>
                <w:rFonts w:ascii="Tahoma" w:hAnsi="Tahoma" w:cs="Tahoma"/>
                <w:b/>
                <w:bCs/>
                <w:sz w:val="18"/>
                <w:szCs w:val="18"/>
              </w:rPr>
              <w:t>31.12.2018</w:t>
            </w:r>
          </w:p>
        </w:tc>
        <w:tc>
          <w:tcPr>
            <w:tcW w:w="1246"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194.911,76</w:t>
            </w:r>
          </w:p>
        </w:tc>
        <w:tc>
          <w:tcPr>
            <w:tcW w:w="1417"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1.834.369,62</w:t>
            </w:r>
          </w:p>
        </w:tc>
        <w:tc>
          <w:tcPr>
            <w:tcW w:w="1417"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717.837,67</w:t>
            </w:r>
          </w:p>
        </w:tc>
        <w:tc>
          <w:tcPr>
            <w:tcW w:w="1246"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37.831,45</w:t>
            </w:r>
          </w:p>
        </w:tc>
        <w:tc>
          <w:tcPr>
            <w:tcW w:w="1256"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53.178,61</w:t>
            </w:r>
          </w:p>
        </w:tc>
        <w:tc>
          <w:tcPr>
            <w:tcW w:w="1417"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b/>
                <w:bCs/>
                <w:sz w:val="18"/>
                <w:szCs w:val="18"/>
              </w:rPr>
            </w:pPr>
            <w:r>
              <w:rPr>
                <w:rFonts w:ascii="Tahoma" w:hAnsi="Tahoma" w:cs="Tahoma"/>
                <w:b/>
                <w:bCs/>
                <w:sz w:val="18"/>
                <w:szCs w:val="18"/>
              </w:rPr>
              <w:t>2.838.129,11</w:t>
            </w:r>
          </w:p>
        </w:tc>
      </w:tr>
      <w:tr w:rsidR="000F032F" w:rsidTr="000F032F">
        <w:trPr>
          <w:trHeight w:val="282"/>
        </w:trPr>
        <w:tc>
          <w:tcPr>
            <w:tcW w:w="2835" w:type="dxa"/>
            <w:tcBorders>
              <w:top w:val="nil"/>
              <w:left w:val="nil"/>
              <w:bottom w:val="single" w:sz="8" w:space="0" w:color="auto"/>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 </w:t>
            </w:r>
          </w:p>
        </w:tc>
        <w:tc>
          <w:tcPr>
            <w:tcW w:w="1246" w:type="dxa"/>
            <w:tcBorders>
              <w:top w:val="nil"/>
              <w:left w:val="nil"/>
              <w:bottom w:val="single" w:sz="8" w:space="0" w:color="auto"/>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 </w:t>
            </w:r>
          </w:p>
        </w:tc>
        <w:tc>
          <w:tcPr>
            <w:tcW w:w="1417" w:type="dxa"/>
            <w:tcBorders>
              <w:top w:val="nil"/>
              <w:left w:val="nil"/>
              <w:bottom w:val="single" w:sz="8" w:space="0" w:color="auto"/>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 </w:t>
            </w:r>
          </w:p>
        </w:tc>
        <w:tc>
          <w:tcPr>
            <w:tcW w:w="1417" w:type="dxa"/>
            <w:tcBorders>
              <w:top w:val="nil"/>
              <w:left w:val="nil"/>
              <w:bottom w:val="single" w:sz="8" w:space="0" w:color="auto"/>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 </w:t>
            </w:r>
          </w:p>
        </w:tc>
        <w:tc>
          <w:tcPr>
            <w:tcW w:w="1246" w:type="dxa"/>
            <w:tcBorders>
              <w:top w:val="nil"/>
              <w:left w:val="nil"/>
              <w:bottom w:val="single" w:sz="8" w:space="0" w:color="auto"/>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 </w:t>
            </w:r>
          </w:p>
        </w:tc>
        <w:tc>
          <w:tcPr>
            <w:tcW w:w="1256" w:type="dxa"/>
            <w:tcBorders>
              <w:top w:val="nil"/>
              <w:left w:val="nil"/>
              <w:bottom w:val="single" w:sz="8" w:space="0" w:color="auto"/>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 </w:t>
            </w:r>
          </w:p>
        </w:tc>
        <w:tc>
          <w:tcPr>
            <w:tcW w:w="1417" w:type="dxa"/>
            <w:tcBorders>
              <w:top w:val="nil"/>
              <w:left w:val="nil"/>
              <w:bottom w:val="single" w:sz="8" w:space="0" w:color="auto"/>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 </w:t>
            </w:r>
          </w:p>
        </w:tc>
      </w:tr>
    </w:tbl>
    <w:p w:rsidR="000F032F" w:rsidRDefault="000F032F" w:rsidP="006471FA">
      <w:pPr>
        <w:spacing w:line="360" w:lineRule="auto"/>
        <w:ind w:left="-1418"/>
        <w:jc w:val="both"/>
        <w:rPr>
          <w:rFonts w:ascii="Tahoma" w:hAnsi="Tahoma" w:cs="Tahoma"/>
          <w:sz w:val="22"/>
          <w:szCs w:val="22"/>
        </w:rPr>
      </w:pPr>
    </w:p>
    <w:p w:rsidR="000F032F" w:rsidRDefault="000F032F" w:rsidP="006471FA">
      <w:pPr>
        <w:spacing w:line="360" w:lineRule="auto"/>
        <w:ind w:left="-1418"/>
        <w:jc w:val="both"/>
        <w:rPr>
          <w:rFonts w:ascii="Tahoma" w:hAnsi="Tahoma" w:cs="Tahoma"/>
          <w:sz w:val="22"/>
          <w:szCs w:val="22"/>
        </w:rPr>
      </w:pPr>
    </w:p>
    <w:p w:rsidR="000F032F" w:rsidRDefault="000F032F" w:rsidP="006471FA">
      <w:pPr>
        <w:spacing w:line="360" w:lineRule="auto"/>
        <w:ind w:left="-1418"/>
        <w:jc w:val="both"/>
        <w:rPr>
          <w:rFonts w:ascii="Tahoma" w:hAnsi="Tahoma" w:cs="Tahoma"/>
          <w:sz w:val="22"/>
          <w:szCs w:val="22"/>
        </w:rPr>
      </w:pPr>
    </w:p>
    <w:p w:rsidR="000F032F" w:rsidRDefault="000F032F" w:rsidP="006471FA">
      <w:pPr>
        <w:spacing w:line="360" w:lineRule="auto"/>
        <w:ind w:left="-1418"/>
        <w:jc w:val="both"/>
        <w:rPr>
          <w:rFonts w:ascii="Tahoma" w:hAnsi="Tahoma" w:cs="Tahoma"/>
          <w:sz w:val="22"/>
          <w:szCs w:val="22"/>
        </w:rPr>
      </w:pPr>
    </w:p>
    <w:p w:rsidR="000F032F" w:rsidRPr="00485A4C" w:rsidRDefault="000F032F" w:rsidP="000F032F">
      <w:pPr>
        <w:spacing w:line="360" w:lineRule="auto"/>
        <w:jc w:val="both"/>
        <w:rPr>
          <w:rFonts w:ascii="Tahoma" w:hAnsi="Tahoma" w:cs="Tahoma"/>
          <w:sz w:val="22"/>
          <w:szCs w:val="22"/>
          <w:highlight w:val="red"/>
        </w:rPr>
      </w:pPr>
    </w:p>
    <w:p w:rsidR="00CF50B9" w:rsidRPr="00485A4C" w:rsidRDefault="00CF50B9" w:rsidP="00480197">
      <w:pPr>
        <w:autoSpaceDE w:val="0"/>
        <w:autoSpaceDN w:val="0"/>
        <w:adjustRightInd w:val="0"/>
        <w:ind w:left="-540"/>
        <w:rPr>
          <w:rFonts w:ascii="Tahoma" w:hAnsi="Tahoma" w:cs="Tahoma"/>
          <w:sz w:val="22"/>
          <w:szCs w:val="22"/>
          <w:highlight w:val="red"/>
        </w:rPr>
      </w:pPr>
    </w:p>
    <w:p w:rsidR="00F924EA" w:rsidRPr="00485A4C" w:rsidRDefault="00F924EA" w:rsidP="00480197">
      <w:pPr>
        <w:pStyle w:val="NormalPanos"/>
        <w:spacing w:line="240" w:lineRule="auto"/>
        <w:ind w:left="-540" w:right="26"/>
        <w:rPr>
          <w:rFonts w:ascii="Tahoma" w:hAnsi="Tahoma" w:cs="Tahoma"/>
          <w:szCs w:val="22"/>
          <w:highlight w:val="red"/>
          <w:lang w:val="el-GR"/>
        </w:rPr>
      </w:pPr>
    </w:p>
    <w:p w:rsidR="00667F36" w:rsidRPr="00485A4C" w:rsidRDefault="00D53E23" w:rsidP="00976A04">
      <w:pPr>
        <w:autoSpaceDE w:val="0"/>
        <w:autoSpaceDN w:val="0"/>
        <w:adjustRightInd w:val="0"/>
        <w:spacing w:line="360" w:lineRule="auto"/>
        <w:ind w:left="-540" w:right="-244"/>
        <w:jc w:val="both"/>
        <w:rPr>
          <w:rFonts w:ascii="Tahoma" w:hAnsi="Tahoma" w:cs="Tahoma"/>
          <w:sz w:val="22"/>
          <w:szCs w:val="22"/>
          <w:highlight w:val="yellow"/>
        </w:rPr>
      </w:pPr>
      <w:bookmarkStart w:id="26" w:name="_Toc178753432"/>
      <w:r w:rsidRPr="00485A4C">
        <w:rPr>
          <w:rFonts w:ascii="Tahoma" w:hAnsi="Tahoma" w:cs="Tahoma"/>
          <w:sz w:val="22"/>
          <w:szCs w:val="22"/>
        </w:rPr>
        <w:t>Κατά τη διάρκεια της χρήσης</w:t>
      </w:r>
      <w:r w:rsidR="00CF50B9" w:rsidRPr="00485A4C">
        <w:rPr>
          <w:rFonts w:ascii="Tahoma" w:hAnsi="Tahoma" w:cs="Tahoma"/>
          <w:sz w:val="22"/>
          <w:szCs w:val="22"/>
        </w:rPr>
        <w:t xml:space="preserve"> δεν</w:t>
      </w:r>
      <w:r w:rsidRPr="00485A4C">
        <w:rPr>
          <w:rFonts w:ascii="Tahoma" w:hAnsi="Tahoma" w:cs="Tahoma"/>
          <w:sz w:val="22"/>
          <w:szCs w:val="22"/>
        </w:rPr>
        <w:t xml:space="preserve"> </w:t>
      </w:r>
      <w:r w:rsidR="00976A04" w:rsidRPr="00485A4C">
        <w:rPr>
          <w:rFonts w:ascii="Tahoma" w:hAnsi="Tahoma" w:cs="Tahoma"/>
          <w:sz w:val="22"/>
          <w:szCs w:val="22"/>
        </w:rPr>
        <w:t xml:space="preserve">διενεργήθηκαν </w:t>
      </w:r>
      <w:r w:rsidR="00CF50B9" w:rsidRPr="00485A4C">
        <w:rPr>
          <w:rFonts w:ascii="Tahoma" w:hAnsi="Tahoma" w:cs="Tahoma"/>
          <w:sz w:val="22"/>
          <w:szCs w:val="22"/>
        </w:rPr>
        <w:t xml:space="preserve">ιδιαίτερες </w:t>
      </w:r>
      <w:r w:rsidR="00976A04" w:rsidRPr="00485A4C">
        <w:rPr>
          <w:rFonts w:ascii="Tahoma" w:hAnsi="Tahoma" w:cs="Tahoma"/>
          <w:sz w:val="22"/>
          <w:szCs w:val="22"/>
        </w:rPr>
        <w:t>επενδύσεις σε ενσώματα περιουσιακά στοιχεία</w:t>
      </w:r>
      <w:r w:rsidR="00CF50B9" w:rsidRPr="00485A4C">
        <w:rPr>
          <w:rFonts w:ascii="Tahoma" w:hAnsi="Tahoma" w:cs="Tahoma"/>
          <w:sz w:val="22"/>
          <w:szCs w:val="22"/>
        </w:rPr>
        <w:t xml:space="preserve">. </w:t>
      </w:r>
    </w:p>
    <w:p w:rsidR="00480197" w:rsidRPr="00485A4C" w:rsidRDefault="0020008D" w:rsidP="00480197">
      <w:pPr>
        <w:pStyle w:val="Heading2"/>
        <w:ind w:left="-540"/>
        <w:rPr>
          <w:rFonts w:ascii="Tahoma" w:hAnsi="Tahoma" w:cs="Tahoma"/>
          <w:i w:val="0"/>
          <w:sz w:val="22"/>
          <w:szCs w:val="22"/>
        </w:rPr>
      </w:pPr>
      <w:bookmarkStart w:id="27" w:name="_Toc526260603"/>
      <w:r w:rsidRPr="00485A4C">
        <w:rPr>
          <w:rFonts w:ascii="Tahoma" w:hAnsi="Tahoma" w:cs="Tahoma"/>
          <w:i w:val="0"/>
          <w:sz w:val="22"/>
          <w:szCs w:val="22"/>
          <w:lang w:val="el-GR"/>
        </w:rPr>
        <w:t>7</w:t>
      </w:r>
      <w:r w:rsidR="00480197" w:rsidRPr="00485A4C">
        <w:rPr>
          <w:rFonts w:ascii="Tahoma" w:hAnsi="Tahoma" w:cs="Tahoma"/>
          <w:i w:val="0"/>
          <w:sz w:val="22"/>
          <w:szCs w:val="22"/>
        </w:rPr>
        <w:t>.2. Άυλα περιουσιακά στοιχεία</w:t>
      </w:r>
      <w:bookmarkEnd w:id="26"/>
      <w:bookmarkEnd w:id="27"/>
    </w:p>
    <w:p w:rsidR="00480197" w:rsidRPr="00485A4C" w:rsidRDefault="00480197" w:rsidP="00480197">
      <w:pPr>
        <w:ind w:left="-540"/>
        <w:jc w:val="both"/>
        <w:rPr>
          <w:rFonts w:ascii="Tahoma" w:hAnsi="Tahoma" w:cs="Tahoma"/>
          <w:sz w:val="22"/>
          <w:szCs w:val="22"/>
          <w:highlight w:val="red"/>
        </w:rPr>
      </w:pPr>
    </w:p>
    <w:p w:rsidR="00480197" w:rsidRPr="00485A4C" w:rsidRDefault="00480197" w:rsidP="00480197">
      <w:pPr>
        <w:ind w:left="-540"/>
        <w:jc w:val="both"/>
        <w:rPr>
          <w:rFonts w:ascii="Tahoma" w:hAnsi="Tahoma" w:cs="Tahoma"/>
          <w:sz w:val="22"/>
          <w:szCs w:val="22"/>
        </w:rPr>
      </w:pPr>
      <w:r w:rsidRPr="00485A4C">
        <w:rPr>
          <w:rFonts w:ascii="Tahoma" w:hAnsi="Tahoma" w:cs="Tahoma"/>
          <w:sz w:val="22"/>
          <w:szCs w:val="22"/>
        </w:rPr>
        <w:t xml:space="preserve">Κατωτέρω παρατίθενται οι μεταβολές των άυλων περιουσιακών στοιχείων. </w:t>
      </w:r>
    </w:p>
    <w:p w:rsidR="007F08BC" w:rsidRPr="00485A4C" w:rsidRDefault="007F08BC" w:rsidP="00480197">
      <w:pPr>
        <w:ind w:left="-540"/>
        <w:jc w:val="both"/>
        <w:rPr>
          <w:rFonts w:ascii="Tahoma" w:hAnsi="Tahoma" w:cs="Tahoma"/>
          <w:sz w:val="22"/>
          <w:szCs w:val="22"/>
          <w:highlight w:val="red"/>
        </w:rPr>
      </w:pPr>
    </w:p>
    <w:p w:rsidR="001C7913" w:rsidRDefault="001C7913" w:rsidP="006A220C">
      <w:pPr>
        <w:ind w:left="-284"/>
        <w:jc w:val="both"/>
        <w:rPr>
          <w:rFonts w:ascii="Tahoma" w:hAnsi="Tahoma" w:cs="Tahoma"/>
          <w:sz w:val="22"/>
          <w:szCs w:val="22"/>
        </w:rPr>
      </w:pPr>
    </w:p>
    <w:p w:rsidR="000F032F" w:rsidRDefault="000F032F" w:rsidP="006A220C">
      <w:pPr>
        <w:ind w:left="-284"/>
        <w:jc w:val="both"/>
        <w:rPr>
          <w:rFonts w:ascii="Tahoma" w:hAnsi="Tahoma" w:cs="Tahoma"/>
          <w:sz w:val="22"/>
          <w:szCs w:val="22"/>
        </w:rPr>
      </w:pPr>
    </w:p>
    <w:p w:rsidR="000F032F" w:rsidRDefault="000F032F" w:rsidP="006A220C">
      <w:pPr>
        <w:ind w:left="-284"/>
        <w:jc w:val="both"/>
        <w:rPr>
          <w:rFonts w:ascii="Tahoma" w:hAnsi="Tahoma" w:cs="Tahoma"/>
          <w:sz w:val="22"/>
          <w:szCs w:val="22"/>
        </w:rPr>
      </w:pPr>
    </w:p>
    <w:tbl>
      <w:tblPr>
        <w:tblW w:w="6140" w:type="dxa"/>
        <w:tblLook w:val="04A0" w:firstRow="1" w:lastRow="0" w:firstColumn="1" w:lastColumn="0" w:noHBand="0" w:noVBand="1"/>
      </w:tblPr>
      <w:tblGrid>
        <w:gridCol w:w="3140"/>
        <w:gridCol w:w="280"/>
        <w:gridCol w:w="1443"/>
        <w:gridCol w:w="273"/>
        <w:gridCol w:w="1220"/>
      </w:tblGrid>
      <w:tr w:rsidR="000F032F" w:rsidTr="000F032F">
        <w:trPr>
          <w:trHeight w:val="540"/>
        </w:trPr>
        <w:tc>
          <w:tcPr>
            <w:tcW w:w="314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28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340" w:type="dxa"/>
            <w:tcBorders>
              <w:top w:val="nil"/>
              <w:left w:val="nil"/>
              <w:bottom w:val="nil"/>
              <w:right w:val="nil"/>
            </w:tcBorders>
            <w:shd w:val="clear" w:color="000000" w:fill="EEECE1"/>
            <w:vAlign w:val="bottom"/>
            <w:hideMark/>
          </w:tcPr>
          <w:p w:rsidR="000F032F" w:rsidRDefault="000F032F">
            <w:pPr>
              <w:jc w:val="center"/>
              <w:rPr>
                <w:rFonts w:ascii="Tahoma" w:hAnsi="Tahoma" w:cs="Tahoma"/>
                <w:b/>
                <w:bCs/>
                <w:sz w:val="18"/>
                <w:szCs w:val="18"/>
              </w:rPr>
            </w:pPr>
            <w:r>
              <w:rPr>
                <w:rFonts w:ascii="Tahoma" w:hAnsi="Tahoma" w:cs="Tahoma"/>
                <w:b/>
                <w:bCs/>
                <w:sz w:val="18"/>
                <w:szCs w:val="18"/>
              </w:rPr>
              <w:t>Λογισμικά προγράμματα</w:t>
            </w:r>
          </w:p>
        </w:tc>
        <w:tc>
          <w:tcPr>
            <w:tcW w:w="160" w:type="dxa"/>
            <w:tcBorders>
              <w:top w:val="nil"/>
              <w:left w:val="nil"/>
              <w:bottom w:val="nil"/>
              <w:right w:val="nil"/>
            </w:tcBorders>
            <w:shd w:val="clear" w:color="000000" w:fill="EEECE1"/>
            <w:vAlign w:val="bottom"/>
            <w:hideMark/>
          </w:tcPr>
          <w:p w:rsidR="000F032F" w:rsidRDefault="000F032F">
            <w:pPr>
              <w:jc w:val="center"/>
              <w:rPr>
                <w:rFonts w:ascii="Tahoma" w:hAnsi="Tahoma" w:cs="Tahoma"/>
                <w:b/>
                <w:bCs/>
                <w:sz w:val="18"/>
                <w:szCs w:val="18"/>
              </w:rPr>
            </w:pPr>
            <w:r>
              <w:rPr>
                <w:rFonts w:ascii="Tahoma" w:hAnsi="Tahoma" w:cs="Tahoma"/>
                <w:b/>
                <w:bCs/>
                <w:sz w:val="18"/>
                <w:szCs w:val="18"/>
              </w:rPr>
              <w:t> </w:t>
            </w:r>
          </w:p>
        </w:tc>
        <w:tc>
          <w:tcPr>
            <w:tcW w:w="1220" w:type="dxa"/>
            <w:tcBorders>
              <w:top w:val="nil"/>
              <w:left w:val="nil"/>
              <w:bottom w:val="nil"/>
              <w:right w:val="nil"/>
            </w:tcBorders>
            <w:shd w:val="clear" w:color="000000" w:fill="EEECE1"/>
            <w:vAlign w:val="bottom"/>
            <w:hideMark/>
          </w:tcPr>
          <w:p w:rsidR="000F032F" w:rsidRDefault="000F032F">
            <w:pPr>
              <w:jc w:val="both"/>
              <w:rPr>
                <w:rFonts w:ascii="Tahoma" w:hAnsi="Tahoma" w:cs="Tahoma"/>
                <w:b/>
                <w:bCs/>
                <w:sz w:val="18"/>
                <w:szCs w:val="18"/>
              </w:rPr>
            </w:pPr>
            <w:r>
              <w:rPr>
                <w:rFonts w:ascii="Tahoma" w:hAnsi="Tahoma" w:cs="Tahoma"/>
                <w:b/>
                <w:bCs/>
                <w:sz w:val="18"/>
                <w:szCs w:val="18"/>
              </w:rPr>
              <w:t>Σύνολο</w:t>
            </w:r>
          </w:p>
        </w:tc>
      </w:tr>
      <w:tr w:rsidR="000F032F" w:rsidTr="000F032F">
        <w:trPr>
          <w:trHeight w:val="282"/>
        </w:trPr>
        <w:tc>
          <w:tcPr>
            <w:tcW w:w="314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xml:space="preserve">Αξία κτήσεως ή αποτίμησης  </w:t>
            </w:r>
          </w:p>
        </w:tc>
        <w:tc>
          <w:tcPr>
            <w:tcW w:w="28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34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6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22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r>
      <w:tr w:rsidR="000F032F" w:rsidTr="000F032F">
        <w:trPr>
          <w:trHeight w:val="282"/>
        </w:trPr>
        <w:tc>
          <w:tcPr>
            <w:tcW w:w="314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Χρήση 01.01.17 - 31.12.17</w:t>
            </w:r>
          </w:p>
        </w:tc>
        <w:tc>
          <w:tcPr>
            <w:tcW w:w="28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34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6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22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r>
              <w:rPr>
                <w:rFonts w:ascii="Tahoma" w:hAnsi="Tahoma" w:cs="Tahoma"/>
                <w:b/>
                <w:bCs/>
                <w:sz w:val="18"/>
                <w:szCs w:val="18"/>
              </w:rPr>
              <w:t>Απογραφή 01.01.2017</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7.500,00</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7.500,00</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Προσθήκες (01.01.17 - 31.12.17)</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0,00</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0,00</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Μειώσεις (01.01.17 - 31.12.17)</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0,00</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0,00</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r>
              <w:rPr>
                <w:rFonts w:ascii="Tahoma" w:hAnsi="Tahoma" w:cs="Tahoma"/>
                <w:b/>
                <w:bCs/>
                <w:sz w:val="18"/>
                <w:szCs w:val="18"/>
              </w:rPr>
              <w:t>Υπόλοιπο 31.12.2017</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p>
        </w:tc>
        <w:tc>
          <w:tcPr>
            <w:tcW w:w="1340" w:type="dxa"/>
            <w:tcBorders>
              <w:top w:val="single" w:sz="4" w:space="0" w:color="auto"/>
              <w:left w:val="nil"/>
              <w:bottom w:val="single" w:sz="4"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7.500,00</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b/>
                <w:bCs/>
                <w:sz w:val="18"/>
                <w:szCs w:val="18"/>
              </w:rPr>
            </w:pPr>
          </w:p>
        </w:tc>
        <w:tc>
          <w:tcPr>
            <w:tcW w:w="1220" w:type="dxa"/>
            <w:tcBorders>
              <w:top w:val="single" w:sz="4" w:space="0" w:color="auto"/>
              <w:left w:val="nil"/>
              <w:bottom w:val="single" w:sz="4"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7.500,00</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b/>
                <w:bCs/>
                <w:sz w:val="18"/>
                <w:szCs w:val="18"/>
              </w:rPr>
            </w:pPr>
          </w:p>
        </w:tc>
        <w:tc>
          <w:tcPr>
            <w:tcW w:w="280" w:type="dxa"/>
            <w:tcBorders>
              <w:top w:val="nil"/>
              <w:left w:val="nil"/>
              <w:bottom w:val="nil"/>
              <w:right w:val="nil"/>
            </w:tcBorders>
            <w:shd w:val="clear" w:color="auto" w:fill="auto"/>
            <w:noWrap/>
            <w:vAlign w:val="bottom"/>
            <w:hideMark/>
          </w:tcPr>
          <w:p w:rsidR="000F032F" w:rsidRDefault="000F032F">
            <w:pPr>
              <w:rPr>
                <w:sz w:val="20"/>
                <w:szCs w:val="20"/>
              </w:rPr>
            </w:pPr>
          </w:p>
        </w:tc>
        <w:tc>
          <w:tcPr>
            <w:tcW w:w="1340" w:type="dxa"/>
            <w:tcBorders>
              <w:top w:val="nil"/>
              <w:left w:val="nil"/>
              <w:bottom w:val="nil"/>
              <w:right w:val="nil"/>
            </w:tcBorders>
            <w:shd w:val="clear" w:color="auto" w:fill="auto"/>
            <w:noWrap/>
            <w:vAlign w:val="bottom"/>
            <w:hideMark/>
          </w:tcPr>
          <w:p w:rsidR="000F032F" w:rsidRDefault="000F032F">
            <w:pPr>
              <w:rPr>
                <w:sz w:val="20"/>
                <w:szCs w:val="20"/>
              </w:rPr>
            </w:pPr>
          </w:p>
        </w:tc>
        <w:tc>
          <w:tcPr>
            <w:tcW w:w="160" w:type="dxa"/>
            <w:tcBorders>
              <w:top w:val="nil"/>
              <w:left w:val="nil"/>
              <w:bottom w:val="nil"/>
              <w:right w:val="nil"/>
            </w:tcBorders>
            <w:shd w:val="clear" w:color="auto" w:fill="auto"/>
            <w:noWrap/>
            <w:vAlign w:val="bottom"/>
            <w:hideMark/>
          </w:tcPr>
          <w:p w:rsidR="000F032F" w:rsidRDefault="000F032F">
            <w:pPr>
              <w:rPr>
                <w:sz w:val="20"/>
                <w:szCs w:val="20"/>
              </w:rPr>
            </w:pPr>
          </w:p>
        </w:tc>
        <w:tc>
          <w:tcPr>
            <w:tcW w:w="1220"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r>
              <w:rPr>
                <w:rFonts w:ascii="Tahoma" w:hAnsi="Tahoma" w:cs="Tahoma"/>
                <w:b/>
                <w:bCs/>
                <w:sz w:val="18"/>
                <w:szCs w:val="18"/>
              </w:rPr>
              <w:t>Συσσωρευμένες αποσβέσεις</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p>
        </w:tc>
        <w:tc>
          <w:tcPr>
            <w:tcW w:w="1340" w:type="dxa"/>
            <w:tcBorders>
              <w:top w:val="nil"/>
              <w:left w:val="nil"/>
              <w:bottom w:val="nil"/>
              <w:right w:val="nil"/>
            </w:tcBorders>
            <w:shd w:val="clear" w:color="auto" w:fill="auto"/>
            <w:noWrap/>
            <w:vAlign w:val="bottom"/>
            <w:hideMark/>
          </w:tcPr>
          <w:p w:rsidR="000F032F" w:rsidRDefault="000F032F">
            <w:pPr>
              <w:rPr>
                <w:sz w:val="20"/>
                <w:szCs w:val="20"/>
              </w:rPr>
            </w:pPr>
          </w:p>
        </w:tc>
        <w:tc>
          <w:tcPr>
            <w:tcW w:w="160" w:type="dxa"/>
            <w:tcBorders>
              <w:top w:val="nil"/>
              <w:left w:val="nil"/>
              <w:bottom w:val="nil"/>
              <w:right w:val="nil"/>
            </w:tcBorders>
            <w:shd w:val="clear" w:color="auto" w:fill="auto"/>
            <w:noWrap/>
            <w:vAlign w:val="bottom"/>
            <w:hideMark/>
          </w:tcPr>
          <w:p w:rsidR="000F032F" w:rsidRDefault="000F032F">
            <w:pPr>
              <w:rPr>
                <w:sz w:val="20"/>
                <w:szCs w:val="20"/>
              </w:rPr>
            </w:pPr>
          </w:p>
        </w:tc>
        <w:tc>
          <w:tcPr>
            <w:tcW w:w="1220"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r>
              <w:rPr>
                <w:rFonts w:ascii="Tahoma" w:hAnsi="Tahoma" w:cs="Tahoma"/>
                <w:b/>
                <w:bCs/>
                <w:sz w:val="18"/>
                <w:szCs w:val="18"/>
              </w:rPr>
              <w:t>Απογραφή 01.01.2017</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6.485,42</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6.485,42</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Προσθήκες (01.01.17 - 31.12.17)</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863,34</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863,34</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Μειώσεις (01.01.17 - 31.12.17)</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0,00</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0,00</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r>
              <w:rPr>
                <w:rFonts w:ascii="Tahoma" w:hAnsi="Tahoma" w:cs="Tahoma"/>
                <w:b/>
                <w:bCs/>
                <w:sz w:val="18"/>
                <w:szCs w:val="18"/>
              </w:rPr>
              <w:t>Υπόλοιπο 31.12.2017</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p>
        </w:tc>
        <w:tc>
          <w:tcPr>
            <w:tcW w:w="1340" w:type="dxa"/>
            <w:tcBorders>
              <w:top w:val="single" w:sz="4" w:space="0" w:color="auto"/>
              <w:left w:val="nil"/>
              <w:bottom w:val="single" w:sz="4"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7.348,76</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b/>
                <w:bCs/>
                <w:sz w:val="18"/>
                <w:szCs w:val="18"/>
              </w:rPr>
            </w:pPr>
          </w:p>
        </w:tc>
        <w:tc>
          <w:tcPr>
            <w:tcW w:w="1220" w:type="dxa"/>
            <w:tcBorders>
              <w:top w:val="single" w:sz="4" w:space="0" w:color="auto"/>
              <w:left w:val="nil"/>
              <w:bottom w:val="single" w:sz="4"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7.348,76</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b/>
                <w:bCs/>
                <w:sz w:val="18"/>
                <w:szCs w:val="18"/>
              </w:rPr>
            </w:pPr>
          </w:p>
        </w:tc>
        <w:tc>
          <w:tcPr>
            <w:tcW w:w="280" w:type="dxa"/>
            <w:tcBorders>
              <w:top w:val="nil"/>
              <w:left w:val="nil"/>
              <w:bottom w:val="nil"/>
              <w:right w:val="nil"/>
            </w:tcBorders>
            <w:shd w:val="clear" w:color="auto" w:fill="auto"/>
            <w:noWrap/>
            <w:vAlign w:val="bottom"/>
            <w:hideMark/>
          </w:tcPr>
          <w:p w:rsidR="000F032F" w:rsidRDefault="000F032F">
            <w:pPr>
              <w:rPr>
                <w:sz w:val="20"/>
                <w:szCs w:val="20"/>
              </w:rPr>
            </w:pPr>
          </w:p>
        </w:tc>
        <w:tc>
          <w:tcPr>
            <w:tcW w:w="1340" w:type="dxa"/>
            <w:tcBorders>
              <w:top w:val="nil"/>
              <w:left w:val="nil"/>
              <w:bottom w:val="nil"/>
              <w:right w:val="nil"/>
            </w:tcBorders>
            <w:shd w:val="clear" w:color="auto" w:fill="auto"/>
            <w:noWrap/>
            <w:vAlign w:val="bottom"/>
            <w:hideMark/>
          </w:tcPr>
          <w:p w:rsidR="000F032F" w:rsidRDefault="000F032F">
            <w:pPr>
              <w:rPr>
                <w:sz w:val="20"/>
                <w:szCs w:val="20"/>
              </w:rPr>
            </w:pPr>
          </w:p>
        </w:tc>
        <w:tc>
          <w:tcPr>
            <w:tcW w:w="160" w:type="dxa"/>
            <w:tcBorders>
              <w:top w:val="nil"/>
              <w:left w:val="nil"/>
              <w:bottom w:val="nil"/>
              <w:right w:val="nil"/>
            </w:tcBorders>
            <w:shd w:val="clear" w:color="auto" w:fill="auto"/>
            <w:noWrap/>
            <w:vAlign w:val="bottom"/>
            <w:hideMark/>
          </w:tcPr>
          <w:p w:rsidR="000F032F" w:rsidRDefault="000F032F">
            <w:pPr>
              <w:rPr>
                <w:sz w:val="20"/>
                <w:szCs w:val="20"/>
              </w:rPr>
            </w:pPr>
          </w:p>
        </w:tc>
        <w:tc>
          <w:tcPr>
            <w:tcW w:w="1220"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282"/>
        </w:trPr>
        <w:tc>
          <w:tcPr>
            <w:tcW w:w="3140" w:type="dxa"/>
            <w:tcBorders>
              <w:top w:val="nil"/>
              <w:left w:val="nil"/>
              <w:bottom w:val="nil"/>
              <w:right w:val="nil"/>
            </w:tcBorders>
            <w:shd w:val="clear" w:color="auto" w:fill="auto"/>
            <w:vAlign w:val="bottom"/>
            <w:hideMark/>
          </w:tcPr>
          <w:p w:rsidR="000F032F" w:rsidRDefault="000F032F">
            <w:pPr>
              <w:rPr>
                <w:rFonts w:ascii="Tahoma" w:hAnsi="Tahoma" w:cs="Tahoma"/>
                <w:b/>
                <w:bCs/>
                <w:sz w:val="18"/>
                <w:szCs w:val="18"/>
              </w:rPr>
            </w:pPr>
            <w:r>
              <w:rPr>
                <w:rFonts w:ascii="Tahoma" w:hAnsi="Tahoma" w:cs="Tahoma"/>
                <w:b/>
                <w:bCs/>
                <w:sz w:val="18"/>
                <w:szCs w:val="18"/>
              </w:rPr>
              <w:t>Αναπόσβεστη αξία</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p>
        </w:tc>
        <w:tc>
          <w:tcPr>
            <w:tcW w:w="1340" w:type="dxa"/>
            <w:tcBorders>
              <w:top w:val="nil"/>
              <w:left w:val="nil"/>
              <w:bottom w:val="nil"/>
              <w:right w:val="nil"/>
            </w:tcBorders>
            <w:shd w:val="clear" w:color="auto" w:fill="auto"/>
            <w:noWrap/>
            <w:vAlign w:val="bottom"/>
            <w:hideMark/>
          </w:tcPr>
          <w:p w:rsidR="000F032F" w:rsidRDefault="000F032F">
            <w:pPr>
              <w:rPr>
                <w:sz w:val="20"/>
                <w:szCs w:val="20"/>
              </w:rPr>
            </w:pPr>
          </w:p>
        </w:tc>
        <w:tc>
          <w:tcPr>
            <w:tcW w:w="160" w:type="dxa"/>
            <w:tcBorders>
              <w:top w:val="nil"/>
              <w:left w:val="nil"/>
              <w:bottom w:val="nil"/>
              <w:right w:val="nil"/>
            </w:tcBorders>
            <w:shd w:val="clear" w:color="auto" w:fill="auto"/>
            <w:noWrap/>
            <w:vAlign w:val="bottom"/>
            <w:hideMark/>
          </w:tcPr>
          <w:p w:rsidR="000F032F" w:rsidRDefault="000F032F">
            <w:pPr>
              <w:rPr>
                <w:sz w:val="20"/>
                <w:szCs w:val="20"/>
              </w:rPr>
            </w:pPr>
          </w:p>
        </w:tc>
        <w:tc>
          <w:tcPr>
            <w:tcW w:w="1220"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282"/>
        </w:trPr>
        <w:tc>
          <w:tcPr>
            <w:tcW w:w="3140" w:type="dxa"/>
            <w:tcBorders>
              <w:top w:val="nil"/>
              <w:left w:val="nil"/>
              <w:bottom w:val="nil"/>
              <w:right w:val="nil"/>
            </w:tcBorders>
            <w:shd w:val="clear" w:color="auto" w:fill="auto"/>
            <w:vAlign w:val="bottom"/>
            <w:hideMark/>
          </w:tcPr>
          <w:p w:rsidR="000F032F" w:rsidRDefault="000F032F">
            <w:pPr>
              <w:rPr>
                <w:rFonts w:ascii="Tahoma" w:hAnsi="Tahoma" w:cs="Tahoma"/>
                <w:sz w:val="18"/>
                <w:szCs w:val="18"/>
              </w:rPr>
            </w:pPr>
            <w:r>
              <w:rPr>
                <w:rFonts w:ascii="Tahoma" w:hAnsi="Tahoma" w:cs="Tahoma"/>
                <w:sz w:val="18"/>
                <w:szCs w:val="18"/>
              </w:rPr>
              <w:t xml:space="preserve">Κατά την </w:t>
            </w:r>
            <w:r>
              <w:rPr>
                <w:rFonts w:ascii="Tahoma" w:hAnsi="Tahoma" w:cs="Tahoma"/>
                <w:b/>
                <w:bCs/>
                <w:sz w:val="18"/>
                <w:szCs w:val="18"/>
              </w:rPr>
              <w:t>01.01.2017</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1.014,58</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1.014,58</w:t>
            </w:r>
          </w:p>
        </w:tc>
      </w:tr>
      <w:tr w:rsidR="000F032F" w:rsidTr="000F032F">
        <w:trPr>
          <w:trHeight w:val="282"/>
        </w:trPr>
        <w:tc>
          <w:tcPr>
            <w:tcW w:w="3140" w:type="dxa"/>
            <w:tcBorders>
              <w:top w:val="nil"/>
              <w:left w:val="nil"/>
              <w:bottom w:val="nil"/>
              <w:right w:val="nil"/>
            </w:tcBorders>
            <w:shd w:val="clear" w:color="auto" w:fill="auto"/>
            <w:vAlign w:val="bottom"/>
            <w:hideMark/>
          </w:tcPr>
          <w:p w:rsidR="000F032F" w:rsidRDefault="000F032F">
            <w:pPr>
              <w:rPr>
                <w:rFonts w:ascii="Tahoma" w:hAnsi="Tahoma" w:cs="Tahoma"/>
                <w:sz w:val="18"/>
                <w:szCs w:val="18"/>
              </w:rPr>
            </w:pPr>
            <w:r>
              <w:rPr>
                <w:rFonts w:ascii="Tahoma" w:hAnsi="Tahoma" w:cs="Tahoma"/>
                <w:sz w:val="18"/>
                <w:szCs w:val="18"/>
              </w:rPr>
              <w:t xml:space="preserve">Κατά την </w:t>
            </w:r>
            <w:r>
              <w:rPr>
                <w:rFonts w:ascii="Tahoma" w:hAnsi="Tahoma" w:cs="Tahoma"/>
                <w:b/>
                <w:bCs/>
                <w:sz w:val="18"/>
                <w:szCs w:val="18"/>
              </w:rPr>
              <w:t>31.12.2017</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p>
        </w:tc>
        <w:tc>
          <w:tcPr>
            <w:tcW w:w="1340" w:type="dxa"/>
            <w:tcBorders>
              <w:top w:val="nil"/>
              <w:left w:val="nil"/>
              <w:bottom w:val="double" w:sz="6"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151,24</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b/>
                <w:bCs/>
                <w:sz w:val="18"/>
                <w:szCs w:val="18"/>
              </w:rPr>
            </w:pPr>
          </w:p>
        </w:tc>
        <w:tc>
          <w:tcPr>
            <w:tcW w:w="1220" w:type="dxa"/>
            <w:tcBorders>
              <w:top w:val="nil"/>
              <w:left w:val="nil"/>
              <w:bottom w:val="double" w:sz="6"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151,24</w:t>
            </w:r>
          </w:p>
        </w:tc>
      </w:tr>
      <w:tr w:rsidR="000F032F" w:rsidTr="000F032F">
        <w:trPr>
          <w:trHeight w:val="282"/>
        </w:trPr>
        <w:tc>
          <w:tcPr>
            <w:tcW w:w="3140" w:type="dxa"/>
            <w:tcBorders>
              <w:top w:val="nil"/>
              <w:left w:val="nil"/>
              <w:bottom w:val="single" w:sz="8" w:space="0" w:color="auto"/>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 </w:t>
            </w:r>
          </w:p>
        </w:tc>
        <w:tc>
          <w:tcPr>
            <w:tcW w:w="280" w:type="dxa"/>
            <w:tcBorders>
              <w:top w:val="nil"/>
              <w:left w:val="nil"/>
              <w:bottom w:val="single" w:sz="8" w:space="0" w:color="auto"/>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 </w:t>
            </w:r>
          </w:p>
        </w:tc>
        <w:tc>
          <w:tcPr>
            <w:tcW w:w="1340" w:type="dxa"/>
            <w:tcBorders>
              <w:top w:val="nil"/>
              <w:left w:val="nil"/>
              <w:bottom w:val="single" w:sz="8" w:space="0" w:color="auto"/>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 </w:t>
            </w:r>
          </w:p>
        </w:tc>
        <w:tc>
          <w:tcPr>
            <w:tcW w:w="160" w:type="dxa"/>
            <w:tcBorders>
              <w:top w:val="nil"/>
              <w:left w:val="nil"/>
              <w:bottom w:val="single" w:sz="8" w:space="0" w:color="auto"/>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 </w:t>
            </w:r>
          </w:p>
        </w:tc>
        <w:tc>
          <w:tcPr>
            <w:tcW w:w="1220" w:type="dxa"/>
            <w:tcBorders>
              <w:top w:val="nil"/>
              <w:left w:val="nil"/>
              <w:bottom w:val="single" w:sz="8" w:space="0" w:color="auto"/>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 </w:t>
            </w:r>
          </w:p>
        </w:tc>
      </w:tr>
      <w:tr w:rsidR="000F032F" w:rsidTr="000F032F">
        <w:trPr>
          <w:trHeight w:val="282"/>
        </w:trPr>
        <w:tc>
          <w:tcPr>
            <w:tcW w:w="314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xml:space="preserve">Αξία κτήσεως ή αποτίμησης  </w:t>
            </w:r>
          </w:p>
        </w:tc>
        <w:tc>
          <w:tcPr>
            <w:tcW w:w="28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34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6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22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r>
      <w:tr w:rsidR="000F032F" w:rsidTr="000F032F">
        <w:trPr>
          <w:trHeight w:val="282"/>
        </w:trPr>
        <w:tc>
          <w:tcPr>
            <w:tcW w:w="314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Χρήση 01.01.18 - 31.12.18</w:t>
            </w:r>
          </w:p>
        </w:tc>
        <w:tc>
          <w:tcPr>
            <w:tcW w:w="28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34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6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1220" w:type="dxa"/>
            <w:tcBorders>
              <w:top w:val="nil"/>
              <w:left w:val="nil"/>
              <w:bottom w:val="nil"/>
              <w:right w:val="nil"/>
            </w:tcBorders>
            <w:shd w:val="clear" w:color="000000" w:fill="EEECE1"/>
            <w:vAlign w:val="bottom"/>
            <w:hideMark/>
          </w:tcPr>
          <w:p w:rsidR="000F032F" w:rsidRDefault="000F032F">
            <w:pPr>
              <w:rPr>
                <w:rFonts w:ascii="Tahoma" w:hAnsi="Tahoma" w:cs="Tahoma"/>
                <w:b/>
                <w:bCs/>
                <w:sz w:val="18"/>
                <w:szCs w:val="18"/>
              </w:rPr>
            </w:pPr>
            <w:r>
              <w:rPr>
                <w:rFonts w:ascii="Tahoma" w:hAnsi="Tahoma" w:cs="Tahoma"/>
                <w:b/>
                <w:bCs/>
                <w:sz w:val="18"/>
                <w:szCs w:val="18"/>
              </w:rPr>
              <w:t> </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r>
              <w:rPr>
                <w:rFonts w:ascii="Tahoma" w:hAnsi="Tahoma" w:cs="Tahoma"/>
                <w:b/>
                <w:bCs/>
                <w:sz w:val="18"/>
                <w:szCs w:val="18"/>
              </w:rPr>
              <w:t>Απογραφή 01.01.2018</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7.500,00</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7.500,00</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Προσθήκες (01.01.18 - 31.12.18)</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0,00</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0,00</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Μειώσεις (01.01.18 - 31.12.18)</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0,00</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0,00</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r>
              <w:rPr>
                <w:rFonts w:ascii="Tahoma" w:hAnsi="Tahoma" w:cs="Tahoma"/>
                <w:b/>
                <w:bCs/>
                <w:sz w:val="18"/>
                <w:szCs w:val="18"/>
              </w:rPr>
              <w:t>Υπόλοιπο 31.12.2018</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p>
        </w:tc>
        <w:tc>
          <w:tcPr>
            <w:tcW w:w="1340" w:type="dxa"/>
            <w:tcBorders>
              <w:top w:val="single" w:sz="4" w:space="0" w:color="auto"/>
              <w:left w:val="nil"/>
              <w:bottom w:val="single" w:sz="4"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7.500,00</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b/>
                <w:bCs/>
                <w:sz w:val="18"/>
                <w:szCs w:val="18"/>
              </w:rPr>
            </w:pPr>
          </w:p>
        </w:tc>
        <w:tc>
          <w:tcPr>
            <w:tcW w:w="1220" w:type="dxa"/>
            <w:tcBorders>
              <w:top w:val="single" w:sz="4" w:space="0" w:color="auto"/>
              <w:left w:val="nil"/>
              <w:bottom w:val="single" w:sz="4"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7.500,00</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b/>
                <w:bCs/>
                <w:sz w:val="18"/>
                <w:szCs w:val="18"/>
              </w:rPr>
            </w:pPr>
          </w:p>
        </w:tc>
        <w:tc>
          <w:tcPr>
            <w:tcW w:w="280" w:type="dxa"/>
            <w:tcBorders>
              <w:top w:val="nil"/>
              <w:left w:val="nil"/>
              <w:bottom w:val="nil"/>
              <w:right w:val="nil"/>
            </w:tcBorders>
            <w:shd w:val="clear" w:color="auto" w:fill="auto"/>
            <w:noWrap/>
            <w:vAlign w:val="bottom"/>
            <w:hideMark/>
          </w:tcPr>
          <w:p w:rsidR="000F032F" w:rsidRDefault="000F032F">
            <w:pPr>
              <w:rPr>
                <w:sz w:val="20"/>
                <w:szCs w:val="20"/>
              </w:rPr>
            </w:pPr>
          </w:p>
        </w:tc>
        <w:tc>
          <w:tcPr>
            <w:tcW w:w="1340" w:type="dxa"/>
            <w:tcBorders>
              <w:top w:val="nil"/>
              <w:left w:val="nil"/>
              <w:bottom w:val="nil"/>
              <w:right w:val="nil"/>
            </w:tcBorders>
            <w:shd w:val="clear" w:color="auto" w:fill="auto"/>
            <w:noWrap/>
            <w:vAlign w:val="bottom"/>
            <w:hideMark/>
          </w:tcPr>
          <w:p w:rsidR="000F032F" w:rsidRDefault="000F032F">
            <w:pPr>
              <w:rPr>
                <w:sz w:val="20"/>
                <w:szCs w:val="20"/>
              </w:rPr>
            </w:pPr>
          </w:p>
        </w:tc>
        <w:tc>
          <w:tcPr>
            <w:tcW w:w="160" w:type="dxa"/>
            <w:tcBorders>
              <w:top w:val="nil"/>
              <w:left w:val="nil"/>
              <w:bottom w:val="nil"/>
              <w:right w:val="nil"/>
            </w:tcBorders>
            <w:shd w:val="clear" w:color="auto" w:fill="auto"/>
            <w:noWrap/>
            <w:vAlign w:val="bottom"/>
            <w:hideMark/>
          </w:tcPr>
          <w:p w:rsidR="000F032F" w:rsidRDefault="000F032F">
            <w:pPr>
              <w:rPr>
                <w:sz w:val="20"/>
                <w:szCs w:val="20"/>
              </w:rPr>
            </w:pPr>
          </w:p>
        </w:tc>
        <w:tc>
          <w:tcPr>
            <w:tcW w:w="1220"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r>
              <w:rPr>
                <w:rFonts w:ascii="Tahoma" w:hAnsi="Tahoma" w:cs="Tahoma"/>
                <w:b/>
                <w:bCs/>
                <w:sz w:val="18"/>
                <w:szCs w:val="18"/>
              </w:rPr>
              <w:t>Συσσωρευμένες αποσβέσεις</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p>
        </w:tc>
        <w:tc>
          <w:tcPr>
            <w:tcW w:w="1340" w:type="dxa"/>
            <w:tcBorders>
              <w:top w:val="nil"/>
              <w:left w:val="nil"/>
              <w:bottom w:val="nil"/>
              <w:right w:val="nil"/>
            </w:tcBorders>
            <w:shd w:val="clear" w:color="auto" w:fill="auto"/>
            <w:noWrap/>
            <w:vAlign w:val="bottom"/>
            <w:hideMark/>
          </w:tcPr>
          <w:p w:rsidR="000F032F" w:rsidRDefault="000F032F">
            <w:pPr>
              <w:rPr>
                <w:sz w:val="20"/>
                <w:szCs w:val="20"/>
              </w:rPr>
            </w:pPr>
          </w:p>
        </w:tc>
        <w:tc>
          <w:tcPr>
            <w:tcW w:w="160" w:type="dxa"/>
            <w:tcBorders>
              <w:top w:val="nil"/>
              <w:left w:val="nil"/>
              <w:bottom w:val="nil"/>
              <w:right w:val="nil"/>
            </w:tcBorders>
            <w:shd w:val="clear" w:color="auto" w:fill="auto"/>
            <w:noWrap/>
            <w:vAlign w:val="bottom"/>
            <w:hideMark/>
          </w:tcPr>
          <w:p w:rsidR="000F032F" w:rsidRDefault="000F032F">
            <w:pPr>
              <w:rPr>
                <w:sz w:val="20"/>
                <w:szCs w:val="20"/>
              </w:rPr>
            </w:pPr>
          </w:p>
        </w:tc>
        <w:tc>
          <w:tcPr>
            <w:tcW w:w="1220"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r>
              <w:rPr>
                <w:rFonts w:ascii="Tahoma" w:hAnsi="Tahoma" w:cs="Tahoma"/>
                <w:b/>
                <w:bCs/>
                <w:sz w:val="18"/>
                <w:szCs w:val="18"/>
              </w:rPr>
              <w:t>Απογραφή 01.01.2018</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7.348,76</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7.348,76</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Προσθήκες (01.01.18 - 31.12.18)</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151,23</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151,23</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Μειώσεις (01.01.18 - 31.12.18)</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0,00</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0,00</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r>
              <w:rPr>
                <w:rFonts w:ascii="Tahoma" w:hAnsi="Tahoma" w:cs="Tahoma"/>
                <w:b/>
                <w:bCs/>
                <w:sz w:val="18"/>
                <w:szCs w:val="18"/>
              </w:rPr>
              <w:t>Υπόλοιπο 31.12.2018</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p>
        </w:tc>
        <w:tc>
          <w:tcPr>
            <w:tcW w:w="1340" w:type="dxa"/>
            <w:tcBorders>
              <w:top w:val="single" w:sz="4" w:space="0" w:color="auto"/>
              <w:left w:val="nil"/>
              <w:bottom w:val="single" w:sz="4"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7.499,99</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b/>
                <w:bCs/>
                <w:sz w:val="18"/>
                <w:szCs w:val="18"/>
              </w:rPr>
            </w:pPr>
          </w:p>
        </w:tc>
        <w:tc>
          <w:tcPr>
            <w:tcW w:w="1220" w:type="dxa"/>
            <w:tcBorders>
              <w:top w:val="single" w:sz="4" w:space="0" w:color="auto"/>
              <w:left w:val="nil"/>
              <w:bottom w:val="single" w:sz="4"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7.499,99</w:t>
            </w:r>
          </w:p>
        </w:tc>
      </w:tr>
      <w:tr w:rsidR="000F032F" w:rsidTr="000F032F">
        <w:trPr>
          <w:trHeight w:val="282"/>
        </w:trPr>
        <w:tc>
          <w:tcPr>
            <w:tcW w:w="31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b/>
                <w:bCs/>
                <w:sz w:val="18"/>
                <w:szCs w:val="18"/>
              </w:rPr>
            </w:pPr>
          </w:p>
        </w:tc>
        <w:tc>
          <w:tcPr>
            <w:tcW w:w="280" w:type="dxa"/>
            <w:tcBorders>
              <w:top w:val="nil"/>
              <w:left w:val="nil"/>
              <w:bottom w:val="nil"/>
              <w:right w:val="nil"/>
            </w:tcBorders>
            <w:shd w:val="clear" w:color="auto" w:fill="auto"/>
            <w:noWrap/>
            <w:vAlign w:val="bottom"/>
            <w:hideMark/>
          </w:tcPr>
          <w:p w:rsidR="000F032F" w:rsidRDefault="000F032F">
            <w:pPr>
              <w:rPr>
                <w:sz w:val="20"/>
                <w:szCs w:val="20"/>
              </w:rPr>
            </w:pPr>
          </w:p>
        </w:tc>
        <w:tc>
          <w:tcPr>
            <w:tcW w:w="1340" w:type="dxa"/>
            <w:tcBorders>
              <w:top w:val="nil"/>
              <w:left w:val="nil"/>
              <w:bottom w:val="nil"/>
              <w:right w:val="nil"/>
            </w:tcBorders>
            <w:shd w:val="clear" w:color="auto" w:fill="auto"/>
            <w:noWrap/>
            <w:vAlign w:val="bottom"/>
            <w:hideMark/>
          </w:tcPr>
          <w:p w:rsidR="000F032F" w:rsidRDefault="000F032F">
            <w:pPr>
              <w:rPr>
                <w:sz w:val="20"/>
                <w:szCs w:val="20"/>
              </w:rPr>
            </w:pPr>
          </w:p>
        </w:tc>
        <w:tc>
          <w:tcPr>
            <w:tcW w:w="160" w:type="dxa"/>
            <w:tcBorders>
              <w:top w:val="nil"/>
              <w:left w:val="nil"/>
              <w:bottom w:val="nil"/>
              <w:right w:val="nil"/>
            </w:tcBorders>
            <w:shd w:val="clear" w:color="auto" w:fill="auto"/>
            <w:noWrap/>
            <w:vAlign w:val="bottom"/>
            <w:hideMark/>
          </w:tcPr>
          <w:p w:rsidR="000F032F" w:rsidRDefault="000F032F">
            <w:pPr>
              <w:rPr>
                <w:sz w:val="20"/>
                <w:szCs w:val="20"/>
              </w:rPr>
            </w:pPr>
          </w:p>
        </w:tc>
        <w:tc>
          <w:tcPr>
            <w:tcW w:w="1220"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282"/>
        </w:trPr>
        <w:tc>
          <w:tcPr>
            <w:tcW w:w="3140" w:type="dxa"/>
            <w:tcBorders>
              <w:top w:val="nil"/>
              <w:left w:val="nil"/>
              <w:bottom w:val="nil"/>
              <w:right w:val="nil"/>
            </w:tcBorders>
            <w:shd w:val="clear" w:color="auto" w:fill="auto"/>
            <w:vAlign w:val="bottom"/>
            <w:hideMark/>
          </w:tcPr>
          <w:p w:rsidR="000F032F" w:rsidRDefault="000F032F">
            <w:pPr>
              <w:rPr>
                <w:rFonts w:ascii="Tahoma" w:hAnsi="Tahoma" w:cs="Tahoma"/>
                <w:b/>
                <w:bCs/>
                <w:sz w:val="18"/>
                <w:szCs w:val="18"/>
              </w:rPr>
            </w:pPr>
            <w:r>
              <w:rPr>
                <w:rFonts w:ascii="Tahoma" w:hAnsi="Tahoma" w:cs="Tahoma"/>
                <w:b/>
                <w:bCs/>
                <w:sz w:val="18"/>
                <w:szCs w:val="18"/>
              </w:rPr>
              <w:t>Αναπόσβεστη αξία</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p>
        </w:tc>
        <w:tc>
          <w:tcPr>
            <w:tcW w:w="1340" w:type="dxa"/>
            <w:tcBorders>
              <w:top w:val="nil"/>
              <w:left w:val="nil"/>
              <w:bottom w:val="nil"/>
              <w:right w:val="nil"/>
            </w:tcBorders>
            <w:shd w:val="clear" w:color="auto" w:fill="auto"/>
            <w:noWrap/>
            <w:vAlign w:val="bottom"/>
            <w:hideMark/>
          </w:tcPr>
          <w:p w:rsidR="000F032F" w:rsidRDefault="000F032F">
            <w:pPr>
              <w:rPr>
                <w:sz w:val="20"/>
                <w:szCs w:val="20"/>
              </w:rPr>
            </w:pPr>
          </w:p>
        </w:tc>
        <w:tc>
          <w:tcPr>
            <w:tcW w:w="160" w:type="dxa"/>
            <w:tcBorders>
              <w:top w:val="nil"/>
              <w:left w:val="nil"/>
              <w:bottom w:val="nil"/>
              <w:right w:val="nil"/>
            </w:tcBorders>
            <w:shd w:val="clear" w:color="auto" w:fill="auto"/>
            <w:noWrap/>
            <w:vAlign w:val="bottom"/>
            <w:hideMark/>
          </w:tcPr>
          <w:p w:rsidR="000F032F" w:rsidRDefault="000F032F">
            <w:pPr>
              <w:rPr>
                <w:sz w:val="20"/>
                <w:szCs w:val="20"/>
              </w:rPr>
            </w:pPr>
          </w:p>
        </w:tc>
        <w:tc>
          <w:tcPr>
            <w:tcW w:w="1220" w:type="dxa"/>
            <w:tcBorders>
              <w:top w:val="nil"/>
              <w:left w:val="nil"/>
              <w:bottom w:val="nil"/>
              <w:right w:val="nil"/>
            </w:tcBorders>
            <w:shd w:val="clear" w:color="auto" w:fill="auto"/>
            <w:noWrap/>
            <w:vAlign w:val="bottom"/>
            <w:hideMark/>
          </w:tcPr>
          <w:p w:rsidR="000F032F" w:rsidRDefault="000F032F">
            <w:pPr>
              <w:rPr>
                <w:sz w:val="20"/>
                <w:szCs w:val="20"/>
              </w:rPr>
            </w:pPr>
          </w:p>
        </w:tc>
      </w:tr>
      <w:tr w:rsidR="000F032F" w:rsidTr="000F032F">
        <w:trPr>
          <w:trHeight w:val="282"/>
        </w:trPr>
        <w:tc>
          <w:tcPr>
            <w:tcW w:w="3140" w:type="dxa"/>
            <w:tcBorders>
              <w:top w:val="nil"/>
              <w:left w:val="nil"/>
              <w:bottom w:val="nil"/>
              <w:right w:val="nil"/>
            </w:tcBorders>
            <w:shd w:val="clear" w:color="auto" w:fill="auto"/>
            <w:vAlign w:val="bottom"/>
            <w:hideMark/>
          </w:tcPr>
          <w:p w:rsidR="000F032F" w:rsidRDefault="000F032F">
            <w:pPr>
              <w:rPr>
                <w:rFonts w:ascii="Tahoma" w:hAnsi="Tahoma" w:cs="Tahoma"/>
                <w:sz w:val="18"/>
                <w:szCs w:val="18"/>
              </w:rPr>
            </w:pPr>
            <w:r>
              <w:rPr>
                <w:rFonts w:ascii="Tahoma" w:hAnsi="Tahoma" w:cs="Tahoma"/>
                <w:sz w:val="18"/>
                <w:szCs w:val="18"/>
              </w:rPr>
              <w:t xml:space="preserve">Κατά την </w:t>
            </w:r>
            <w:r>
              <w:rPr>
                <w:rFonts w:ascii="Tahoma" w:hAnsi="Tahoma" w:cs="Tahoma"/>
                <w:b/>
                <w:bCs/>
                <w:sz w:val="18"/>
                <w:szCs w:val="18"/>
              </w:rPr>
              <w:t>01.01.2018</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p>
        </w:tc>
        <w:tc>
          <w:tcPr>
            <w:tcW w:w="134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151,24</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p>
        </w:tc>
        <w:tc>
          <w:tcPr>
            <w:tcW w:w="1220"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151,24</w:t>
            </w:r>
          </w:p>
        </w:tc>
      </w:tr>
      <w:tr w:rsidR="000F032F" w:rsidTr="000F032F">
        <w:trPr>
          <w:trHeight w:val="282"/>
        </w:trPr>
        <w:tc>
          <w:tcPr>
            <w:tcW w:w="3140" w:type="dxa"/>
            <w:tcBorders>
              <w:top w:val="nil"/>
              <w:left w:val="nil"/>
              <w:bottom w:val="nil"/>
              <w:right w:val="nil"/>
            </w:tcBorders>
            <w:shd w:val="clear" w:color="auto" w:fill="auto"/>
            <w:vAlign w:val="bottom"/>
            <w:hideMark/>
          </w:tcPr>
          <w:p w:rsidR="000F032F" w:rsidRDefault="000F032F">
            <w:pPr>
              <w:rPr>
                <w:rFonts w:ascii="Tahoma" w:hAnsi="Tahoma" w:cs="Tahoma"/>
                <w:sz w:val="18"/>
                <w:szCs w:val="18"/>
              </w:rPr>
            </w:pPr>
            <w:r>
              <w:rPr>
                <w:rFonts w:ascii="Tahoma" w:hAnsi="Tahoma" w:cs="Tahoma"/>
                <w:sz w:val="18"/>
                <w:szCs w:val="18"/>
              </w:rPr>
              <w:t xml:space="preserve">Κατά την </w:t>
            </w:r>
            <w:r>
              <w:rPr>
                <w:rFonts w:ascii="Tahoma" w:hAnsi="Tahoma" w:cs="Tahoma"/>
                <w:b/>
                <w:bCs/>
                <w:sz w:val="18"/>
                <w:szCs w:val="18"/>
              </w:rPr>
              <w:t>31.12.2018</w:t>
            </w:r>
          </w:p>
        </w:tc>
        <w:tc>
          <w:tcPr>
            <w:tcW w:w="280"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p>
        </w:tc>
        <w:tc>
          <w:tcPr>
            <w:tcW w:w="1340" w:type="dxa"/>
            <w:tcBorders>
              <w:top w:val="nil"/>
              <w:left w:val="nil"/>
              <w:bottom w:val="double" w:sz="6"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0,01</w:t>
            </w:r>
          </w:p>
        </w:tc>
        <w:tc>
          <w:tcPr>
            <w:tcW w:w="160" w:type="dxa"/>
            <w:tcBorders>
              <w:top w:val="nil"/>
              <w:left w:val="nil"/>
              <w:bottom w:val="nil"/>
              <w:right w:val="nil"/>
            </w:tcBorders>
            <w:shd w:val="clear" w:color="auto" w:fill="auto"/>
            <w:noWrap/>
            <w:vAlign w:val="bottom"/>
            <w:hideMark/>
          </w:tcPr>
          <w:p w:rsidR="000F032F" w:rsidRDefault="000F032F">
            <w:pPr>
              <w:jc w:val="right"/>
              <w:rPr>
                <w:rFonts w:ascii="Tahoma" w:hAnsi="Tahoma" w:cs="Tahoma"/>
                <w:b/>
                <w:bCs/>
                <w:sz w:val="18"/>
                <w:szCs w:val="18"/>
              </w:rPr>
            </w:pPr>
          </w:p>
        </w:tc>
        <w:tc>
          <w:tcPr>
            <w:tcW w:w="1220" w:type="dxa"/>
            <w:tcBorders>
              <w:top w:val="nil"/>
              <w:left w:val="nil"/>
              <w:bottom w:val="double" w:sz="6"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0,01</w:t>
            </w:r>
          </w:p>
        </w:tc>
      </w:tr>
    </w:tbl>
    <w:p w:rsidR="000F032F" w:rsidRDefault="000F032F" w:rsidP="006A220C">
      <w:pPr>
        <w:ind w:left="-284"/>
        <w:jc w:val="both"/>
        <w:rPr>
          <w:rFonts w:ascii="Tahoma" w:hAnsi="Tahoma" w:cs="Tahoma"/>
          <w:sz w:val="22"/>
          <w:szCs w:val="22"/>
        </w:rPr>
      </w:pPr>
    </w:p>
    <w:p w:rsidR="000F032F" w:rsidRDefault="000F032F" w:rsidP="006A220C">
      <w:pPr>
        <w:ind w:left="-284"/>
        <w:jc w:val="both"/>
        <w:rPr>
          <w:rFonts w:ascii="Tahoma" w:hAnsi="Tahoma" w:cs="Tahoma"/>
          <w:sz w:val="22"/>
          <w:szCs w:val="22"/>
        </w:rPr>
      </w:pPr>
    </w:p>
    <w:p w:rsidR="000F032F" w:rsidRDefault="000F032F" w:rsidP="006A220C">
      <w:pPr>
        <w:ind w:left="-284"/>
        <w:jc w:val="both"/>
        <w:rPr>
          <w:rFonts w:ascii="Tahoma" w:hAnsi="Tahoma" w:cs="Tahoma"/>
          <w:sz w:val="22"/>
          <w:szCs w:val="22"/>
        </w:rPr>
      </w:pPr>
    </w:p>
    <w:p w:rsidR="000F032F" w:rsidRDefault="000F032F" w:rsidP="006A220C">
      <w:pPr>
        <w:ind w:left="-284"/>
        <w:jc w:val="both"/>
        <w:rPr>
          <w:rFonts w:ascii="Tahoma" w:hAnsi="Tahoma" w:cs="Tahoma"/>
          <w:sz w:val="22"/>
          <w:szCs w:val="22"/>
        </w:rPr>
      </w:pPr>
    </w:p>
    <w:p w:rsidR="000F032F" w:rsidRPr="00485A4C" w:rsidRDefault="000F032F" w:rsidP="006A220C">
      <w:pPr>
        <w:ind w:left="-284"/>
        <w:jc w:val="both"/>
        <w:rPr>
          <w:rFonts w:ascii="Tahoma" w:hAnsi="Tahoma" w:cs="Tahoma"/>
          <w:sz w:val="22"/>
          <w:szCs w:val="22"/>
          <w:highlight w:val="red"/>
        </w:rPr>
      </w:pPr>
    </w:p>
    <w:p w:rsidR="007F08BC" w:rsidRPr="00485A4C" w:rsidRDefault="007F08BC" w:rsidP="001C7913">
      <w:pPr>
        <w:ind w:left="-567"/>
        <w:jc w:val="both"/>
        <w:rPr>
          <w:rFonts w:ascii="Tahoma" w:hAnsi="Tahoma" w:cs="Tahoma"/>
          <w:sz w:val="22"/>
          <w:szCs w:val="22"/>
          <w:highlight w:val="red"/>
        </w:rPr>
      </w:pPr>
    </w:p>
    <w:p w:rsidR="007F08BC" w:rsidRPr="00485A4C" w:rsidRDefault="007F08BC" w:rsidP="001C7913">
      <w:pPr>
        <w:ind w:left="-567"/>
        <w:jc w:val="both"/>
        <w:rPr>
          <w:rFonts w:ascii="Tahoma" w:hAnsi="Tahoma" w:cs="Tahoma"/>
          <w:sz w:val="22"/>
          <w:szCs w:val="22"/>
          <w:highlight w:val="red"/>
        </w:rPr>
      </w:pPr>
    </w:p>
    <w:p w:rsidR="003031BE" w:rsidRPr="00485A4C" w:rsidRDefault="003031BE" w:rsidP="001C7913">
      <w:pPr>
        <w:ind w:left="-567"/>
        <w:jc w:val="both"/>
        <w:rPr>
          <w:rFonts w:ascii="Tahoma" w:hAnsi="Tahoma" w:cs="Tahoma"/>
          <w:sz w:val="22"/>
          <w:szCs w:val="22"/>
          <w:highlight w:val="red"/>
        </w:rPr>
      </w:pPr>
    </w:p>
    <w:p w:rsidR="00480197" w:rsidRPr="00485A4C" w:rsidRDefault="0020008D" w:rsidP="00480197">
      <w:pPr>
        <w:pStyle w:val="Heading2"/>
        <w:ind w:left="-540"/>
        <w:rPr>
          <w:rFonts w:ascii="Tahoma" w:hAnsi="Tahoma" w:cs="Tahoma"/>
          <w:i w:val="0"/>
          <w:sz w:val="22"/>
          <w:szCs w:val="22"/>
        </w:rPr>
      </w:pPr>
      <w:bookmarkStart w:id="28" w:name="_Toc178753434"/>
      <w:bookmarkStart w:id="29" w:name="_Toc526260604"/>
      <w:r w:rsidRPr="00485A4C">
        <w:rPr>
          <w:rFonts w:ascii="Tahoma" w:hAnsi="Tahoma" w:cs="Tahoma"/>
          <w:i w:val="0"/>
          <w:sz w:val="22"/>
          <w:szCs w:val="22"/>
        </w:rPr>
        <w:t>7</w:t>
      </w:r>
      <w:r w:rsidR="00480197" w:rsidRPr="00485A4C">
        <w:rPr>
          <w:rFonts w:ascii="Tahoma" w:hAnsi="Tahoma" w:cs="Tahoma"/>
          <w:i w:val="0"/>
          <w:sz w:val="22"/>
          <w:szCs w:val="22"/>
        </w:rPr>
        <w:t>.</w:t>
      </w:r>
      <w:r w:rsidR="00BE65F3" w:rsidRPr="00485A4C">
        <w:rPr>
          <w:rFonts w:ascii="Tahoma" w:hAnsi="Tahoma" w:cs="Tahoma"/>
          <w:i w:val="0"/>
          <w:sz w:val="22"/>
          <w:szCs w:val="22"/>
        </w:rPr>
        <w:t>3</w:t>
      </w:r>
      <w:r w:rsidR="00480197" w:rsidRPr="00485A4C">
        <w:rPr>
          <w:rFonts w:ascii="Tahoma" w:hAnsi="Tahoma" w:cs="Tahoma"/>
          <w:i w:val="0"/>
          <w:sz w:val="22"/>
          <w:szCs w:val="22"/>
        </w:rPr>
        <w:t xml:space="preserve">. </w:t>
      </w:r>
      <w:r w:rsidR="000F032F">
        <w:rPr>
          <w:rFonts w:ascii="Tahoma" w:hAnsi="Tahoma" w:cs="Tahoma"/>
          <w:i w:val="0"/>
          <w:sz w:val="22"/>
          <w:szCs w:val="22"/>
          <w:lang w:val="el-GR"/>
        </w:rPr>
        <w:t>Λοιπές</w:t>
      </w:r>
      <w:r w:rsidR="00480197" w:rsidRPr="00485A4C">
        <w:rPr>
          <w:rFonts w:ascii="Tahoma" w:hAnsi="Tahoma" w:cs="Tahoma"/>
          <w:i w:val="0"/>
          <w:sz w:val="22"/>
          <w:szCs w:val="22"/>
        </w:rPr>
        <w:t xml:space="preserve"> απαιτήσεις</w:t>
      </w:r>
      <w:bookmarkEnd w:id="28"/>
      <w:bookmarkEnd w:id="29"/>
    </w:p>
    <w:p w:rsidR="00480197" w:rsidRPr="00485A4C" w:rsidRDefault="00480197" w:rsidP="00480197">
      <w:pPr>
        <w:rPr>
          <w:rFonts w:ascii="Tahoma" w:hAnsi="Tahoma" w:cs="Tahoma"/>
          <w:sz w:val="22"/>
          <w:szCs w:val="22"/>
        </w:rPr>
      </w:pPr>
    </w:p>
    <w:p w:rsidR="00480197" w:rsidRPr="00485A4C" w:rsidRDefault="00480197" w:rsidP="00480197">
      <w:pPr>
        <w:ind w:left="-540"/>
        <w:jc w:val="both"/>
        <w:rPr>
          <w:rFonts w:ascii="Tahoma" w:hAnsi="Tahoma" w:cs="Tahoma"/>
          <w:sz w:val="22"/>
          <w:szCs w:val="22"/>
        </w:rPr>
      </w:pPr>
      <w:r w:rsidRPr="00485A4C">
        <w:rPr>
          <w:rFonts w:ascii="Tahoma" w:hAnsi="Tahoma" w:cs="Tahoma"/>
          <w:sz w:val="22"/>
          <w:szCs w:val="22"/>
        </w:rPr>
        <w:t>Ο λογαριασμός αφορά δοσμένες εγγυήσεις σε τρίτους η ανάλυση των οποίων είναι η εξής:</w:t>
      </w:r>
    </w:p>
    <w:p w:rsidR="003031BE" w:rsidRPr="00485A4C" w:rsidRDefault="003031BE" w:rsidP="00480197">
      <w:pPr>
        <w:ind w:left="-540"/>
        <w:jc w:val="both"/>
        <w:rPr>
          <w:rFonts w:ascii="Tahoma" w:hAnsi="Tahoma" w:cs="Tahoma"/>
          <w:sz w:val="22"/>
          <w:szCs w:val="22"/>
        </w:rPr>
      </w:pPr>
    </w:p>
    <w:p w:rsidR="007F08BC" w:rsidRPr="00485A4C" w:rsidRDefault="007F08BC" w:rsidP="00480197">
      <w:pPr>
        <w:ind w:left="-540"/>
        <w:jc w:val="both"/>
        <w:rPr>
          <w:rFonts w:ascii="Tahoma" w:hAnsi="Tahoma" w:cs="Tahoma"/>
          <w:sz w:val="22"/>
          <w:szCs w:val="22"/>
          <w:highlight w:val="red"/>
        </w:rPr>
      </w:pPr>
    </w:p>
    <w:tbl>
      <w:tblPr>
        <w:tblW w:w="9300" w:type="dxa"/>
        <w:tblInd w:w="-1101" w:type="dxa"/>
        <w:tblLook w:val="04A0" w:firstRow="1" w:lastRow="0" w:firstColumn="1" w:lastColumn="0" w:noHBand="0" w:noVBand="1"/>
      </w:tblPr>
      <w:tblGrid>
        <w:gridCol w:w="3176"/>
        <w:gridCol w:w="2873"/>
        <w:gridCol w:w="3251"/>
      </w:tblGrid>
      <w:tr w:rsidR="000F032F" w:rsidTr="000F032F">
        <w:trPr>
          <w:trHeight w:val="264"/>
        </w:trPr>
        <w:tc>
          <w:tcPr>
            <w:tcW w:w="3176" w:type="dxa"/>
            <w:tcBorders>
              <w:top w:val="nil"/>
              <w:left w:val="nil"/>
              <w:bottom w:val="nil"/>
              <w:right w:val="nil"/>
            </w:tcBorders>
            <w:shd w:val="clear" w:color="000000" w:fill="E6E6E6"/>
            <w:noWrap/>
            <w:vAlign w:val="bottom"/>
            <w:hideMark/>
          </w:tcPr>
          <w:p w:rsidR="000F032F" w:rsidRDefault="000F032F">
            <w:pPr>
              <w:rPr>
                <w:rFonts w:ascii="Tahoma" w:hAnsi="Tahoma" w:cs="Tahoma"/>
                <w:sz w:val="18"/>
                <w:szCs w:val="18"/>
              </w:rPr>
            </w:pPr>
            <w:r>
              <w:rPr>
                <w:rFonts w:ascii="Tahoma" w:hAnsi="Tahoma" w:cs="Tahoma"/>
                <w:sz w:val="18"/>
                <w:szCs w:val="18"/>
              </w:rPr>
              <w:t> </w:t>
            </w:r>
          </w:p>
        </w:tc>
        <w:tc>
          <w:tcPr>
            <w:tcW w:w="6124" w:type="dxa"/>
            <w:gridSpan w:val="2"/>
            <w:tcBorders>
              <w:top w:val="nil"/>
              <w:left w:val="nil"/>
              <w:bottom w:val="nil"/>
              <w:right w:val="nil"/>
            </w:tcBorders>
            <w:shd w:val="clear" w:color="000000" w:fill="E6E6E6"/>
            <w:hideMark/>
          </w:tcPr>
          <w:p w:rsidR="000F032F" w:rsidRDefault="000F032F">
            <w:pPr>
              <w:jc w:val="center"/>
              <w:rPr>
                <w:rFonts w:ascii="Tahoma" w:hAnsi="Tahoma" w:cs="Tahoma"/>
                <w:b/>
                <w:bCs/>
                <w:sz w:val="18"/>
                <w:szCs w:val="18"/>
              </w:rPr>
            </w:pPr>
            <w:r>
              <w:rPr>
                <w:rFonts w:ascii="Tahoma" w:hAnsi="Tahoma" w:cs="Tahoma"/>
                <w:b/>
                <w:bCs/>
                <w:sz w:val="18"/>
                <w:szCs w:val="18"/>
              </w:rPr>
              <w:t>Εταιρεία</w:t>
            </w:r>
          </w:p>
        </w:tc>
      </w:tr>
      <w:tr w:rsidR="000F032F" w:rsidTr="000F032F">
        <w:trPr>
          <w:trHeight w:val="264"/>
        </w:trPr>
        <w:tc>
          <w:tcPr>
            <w:tcW w:w="3176" w:type="dxa"/>
            <w:tcBorders>
              <w:top w:val="nil"/>
              <w:left w:val="nil"/>
              <w:bottom w:val="nil"/>
              <w:right w:val="nil"/>
            </w:tcBorders>
            <w:shd w:val="clear" w:color="000000" w:fill="E6E6E6"/>
            <w:noWrap/>
            <w:vAlign w:val="bottom"/>
            <w:hideMark/>
          </w:tcPr>
          <w:p w:rsidR="000F032F" w:rsidRDefault="000F032F">
            <w:pPr>
              <w:rPr>
                <w:rFonts w:ascii="Tahoma" w:hAnsi="Tahoma" w:cs="Tahoma"/>
                <w:b/>
                <w:bCs/>
                <w:sz w:val="18"/>
                <w:szCs w:val="18"/>
              </w:rPr>
            </w:pPr>
            <w:r>
              <w:rPr>
                <w:rFonts w:ascii="Tahoma" w:hAnsi="Tahoma" w:cs="Tahoma"/>
                <w:b/>
                <w:bCs/>
                <w:sz w:val="18"/>
                <w:szCs w:val="18"/>
              </w:rPr>
              <w:t> </w:t>
            </w:r>
          </w:p>
        </w:tc>
        <w:tc>
          <w:tcPr>
            <w:tcW w:w="2873" w:type="dxa"/>
            <w:tcBorders>
              <w:top w:val="nil"/>
              <w:left w:val="nil"/>
              <w:bottom w:val="nil"/>
              <w:right w:val="nil"/>
            </w:tcBorders>
            <w:shd w:val="clear" w:color="000000" w:fill="E6E6E6"/>
            <w:noWrap/>
            <w:vAlign w:val="bottom"/>
            <w:hideMark/>
          </w:tcPr>
          <w:p w:rsidR="000F032F" w:rsidRDefault="000F032F">
            <w:pPr>
              <w:jc w:val="center"/>
              <w:rPr>
                <w:rFonts w:ascii="Tahoma" w:hAnsi="Tahoma" w:cs="Tahoma"/>
                <w:b/>
                <w:bCs/>
                <w:sz w:val="18"/>
                <w:szCs w:val="18"/>
              </w:rPr>
            </w:pPr>
            <w:r>
              <w:rPr>
                <w:rFonts w:ascii="Tahoma" w:hAnsi="Tahoma" w:cs="Tahoma"/>
                <w:b/>
                <w:bCs/>
                <w:sz w:val="18"/>
                <w:szCs w:val="18"/>
              </w:rPr>
              <w:t>31.12.2018</w:t>
            </w:r>
          </w:p>
        </w:tc>
        <w:tc>
          <w:tcPr>
            <w:tcW w:w="3251" w:type="dxa"/>
            <w:tcBorders>
              <w:top w:val="nil"/>
              <w:left w:val="nil"/>
              <w:bottom w:val="nil"/>
              <w:right w:val="nil"/>
            </w:tcBorders>
            <w:shd w:val="clear" w:color="000000" w:fill="E6E6E6"/>
            <w:noWrap/>
            <w:vAlign w:val="bottom"/>
            <w:hideMark/>
          </w:tcPr>
          <w:p w:rsidR="000F032F" w:rsidRDefault="000F032F">
            <w:pPr>
              <w:jc w:val="center"/>
              <w:rPr>
                <w:rFonts w:ascii="Tahoma" w:hAnsi="Tahoma" w:cs="Tahoma"/>
                <w:b/>
                <w:bCs/>
                <w:sz w:val="18"/>
                <w:szCs w:val="18"/>
              </w:rPr>
            </w:pPr>
            <w:r>
              <w:rPr>
                <w:rFonts w:ascii="Tahoma" w:hAnsi="Tahoma" w:cs="Tahoma"/>
                <w:b/>
                <w:bCs/>
                <w:sz w:val="18"/>
                <w:szCs w:val="18"/>
              </w:rPr>
              <w:t>31.12.2017</w:t>
            </w:r>
          </w:p>
        </w:tc>
      </w:tr>
      <w:tr w:rsidR="000F032F" w:rsidTr="000F032F">
        <w:trPr>
          <w:trHeight w:val="360"/>
        </w:trPr>
        <w:tc>
          <w:tcPr>
            <w:tcW w:w="3176"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Eγγυήσεις σε Δ.E.H.</w:t>
            </w:r>
          </w:p>
        </w:tc>
        <w:tc>
          <w:tcPr>
            <w:tcW w:w="2873" w:type="dxa"/>
            <w:tcBorders>
              <w:top w:val="nil"/>
              <w:left w:val="nil"/>
              <w:bottom w:val="single" w:sz="4" w:space="0" w:color="auto"/>
              <w:right w:val="nil"/>
            </w:tcBorders>
            <w:shd w:val="clear" w:color="auto" w:fill="auto"/>
            <w:vAlign w:val="center"/>
            <w:hideMark/>
          </w:tcPr>
          <w:p w:rsidR="000F032F" w:rsidRDefault="000F032F">
            <w:pPr>
              <w:jc w:val="right"/>
              <w:rPr>
                <w:rFonts w:ascii="Tahoma" w:hAnsi="Tahoma" w:cs="Tahoma"/>
                <w:sz w:val="18"/>
                <w:szCs w:val="18"/>
              </w:rPr>
            </w:pPr>
            <w:r>
              <w:rPr>
                <w:rFonts w:ascii="Tahoma" w:hAnsi="Tahoma" w:cs="Tahoma"/>
                <w:sz w:val="18"/>
                <w:szCs w:val="18"/>
              </w:rPr>
              <w:t>7.405,00</w:t>
            </w:r>
          </w:p>
        </w:tc>
        <w:tc>
          <w:tcPr>
            <w:tcW w:w="3251" w:type="dxa"/>
            <w:tcBorders>
              <w:top w:val="nil"/>
              <w:left w:val="nil"/>
              <w:bottom w:val="single" w:sz="4" w:space="0" w:color="auto"/>
              <w:right w:val="nil"/>
            </w:tcBorders>
            <w:shd w:val="clear" w:color="auto" w:fill="auto"/>
            <w:vAlign w:val="center"/>
            <w:hideMark/>
          </w:tcPr>
          <w:p w:rsidR="000F032F" w:rsidRDefault="000F032F">
            <w:pPr>
              <w:jc w:val="right"/>
              <w:rPr>
                <w:rFonts w:ascii="Tahoma" w:hAnsi="Tahoma" w:cs="Tahoma"/>
                <w:sz w:val="18"/>
                <w:szCs w:val="18"/>
              </w:rPr>
            </w:pPr>
            <w:r>
              <w:rPr>
                <w:rFonts w:ascii="Tahoma" w:hAnsi="Tahoma" w:cs="Tahoma"/>
                <w:sz w:val="18"/>
                <w:szCs w:val="18"/>
              </w:rPr>
              <w:t>7.405,00</w:t>
            </w:r>
          </w:p>
        </w:tc>
      </w:tr>
      <w:tr w:rsidR="000F032F" w:rsidTr="000F032F">
        <w:trPr>
          <w:trHeight w:val="360"/>
        </w:trPr>
        <w:tc>
          <w:tcPr>
            <w:tcW w:w="3176" w:type="dxa"/>
            <w:tcBorders>
              <w:top w:val="nil"/>
              <w:left w:val="nil"/>
              <w:bottom w:val="nil"/>
              <w:right w:val="nil"/>
            </w:tcBorders>
            <w:shd w:val="clear" w:color="auto" w:fill="auto"/>
            <w:hideMark/>
          </w:tcPr>
          <w:p w:rsidR="000F032F" w:rsidRDefault="000F032F">
            <w:pPr>
              <w:rPr>
                <w:rFonts w:ascii="Tahoma" w:hAnsi="Tahoma" w:cs="Tahoma"/>
                <w:b/>
                <w:bCs/>
                <w:sz w:val="18"/>
                <w:szCs w:val="18"/>
              </w:rPr>
            </w:pPr>
            <w:r>
              <w:rPr>
                <w:rFonts w:ascii="Tahoma" w:hAnsi="Tahoma" w:cs="Tahoma"/>
                <w:b/>
                <w:bCs/>
                <w:sz w:val="18"/>
                <w:szCs w:val="18"/>
              </w:rPr>
              <w:t>Σύνολο</w:t>
            </w:r>
          </w:p>
        </w:tc>
        <w:tc>
          <w:tcPr>
            <w:tcW w:w="2873" w:type="dxa"/>
            <w:tcBorders>
              <w:top w:val="nil"/>
              <w:left w:val="nil"/>
              <w:bottom w:val="double" w:sz="6" w:space="0" w:color="auto"/>
              <w:right w:val="nil"/>
            </w:tcBorders>
            <w:shd w:val="clear" w:color="auto" w:fill="auto"/>
            <w:vAlign w:val="center"/>
            <w:hideMark/>
          </w:tcPr>
          <w:p w:rsidR="000F032F" w:rsidRDefault="000F032F">
            <w:pPr>
              <w:jc w:val="right"/>
              <w:rPr>
                <w:rFonts w:ascii="Tahoma" w:hAnsi="Tahoma" w:cs="Tahoma"/>
                <w:b/>
                <w:bCs/>
                <w:sz w:val="18"/>
                <w:szCs w:val="18"/>
              </w:rPr>
            </w:pPr>
            <w:r>
              <w:rPr>
                <w:rFonts w:ascii="Tahoma" w:hAnsi="Tahoma" w:cs="Tahoma"/>
                <w:b/>
                <w:bCs/>
                <w:sz w:val="18"/>
                <w:szCs w:val="18"/>
              </w:rPr>
              <w:t>7.405,00</w:t>
            </w:r>
          </w:p>
        </w:tc>
        <w:tc>
          <w:tcPr>
            <w:tcW w:w="3251" w:type="dxa"/>
            <w:tcBorders>
              <w:top w:val="nil"/>
              <w:left w:val="nil"/>
              <w:bottom w:val="double" w:sz="6" w:space="0" w:color="auto"/>
              <w:right w:val="nil"/>
            </w:tcBorders>
            <w:shd w:val="clear" w:color="auto" w:fill="auto"/>
            <w:vAlign w:val="center"/>
            <w:hideMark/>
          </w:tcPr>
          <w:p w:rsidR="000F032F" w:rsidRDefault="000F032F">
            <w:pPr>
              <w:jc w:val="right"/>
              <w:rPr>
                <w:rFonts w:ascii="Tahoma" w:hAnsi="Tahoma" w:cs="Tahoma"/>
                <w:b/>
                <w:bCs/>
                <w:sz w:val="18"/>
                <w:szCs w:val="18"/>
              </w:rPr>
            </w:pPr>
            <w:r>
              <w:rPr>
                <w:rFonts w:ascii="Tahoma" w:hAnsi="Tahoma" w:cs="Tahoma"/>
                <w:b/>
                <w:bCs/>
                <w:sz w:val="18"/>
                <w:szCs w:val="18"/>
              </w:rPr>
              <w:t>7.405,00</w:t>
            </w:r>
          </w:p>
        </w:tc>
      </w:tr>
    </w:tbl>
    <w:p w:rsidR="00373507" w:rsidRPr="00485A4C" w:rsidRDefault="00373507" w:rsidP="007F08BC">
      <w:pPr>
        <w:ind w:left="-284"/>
        <w:jc w:val="both"/>
        <w:rPr>
          <w:rFonts w:ascii="Tahoma" w:hAnsi="Tahoma" w:cs="Tahoma"/>
          <w:sz w:val="22"/>
          <w:szCs w:val="22"/>
          <w:highlight w:val="red"/>
        </w:rPr>
      </w:pPr>
    </w:p>
    <w:p w:rsidR="00B7559A" w:rsidRPr="00485A4C" w:rsidRDefault="00B7559A" w:rsidP="00480197">
      <w:pPr>
        <w:rPr>
          <w:rFonts w:ascii="Tahoma" w:hAnsi="Tahoma" w:cs="Tahoma"/>
          <w:sz w:val="22"/>
          <w:szCs w:val="22"/>
        </w:rPr>
      </w:pPr>
    </w:p>
    <w:p w:rsidR="00480197" w:rsidRPr="00485A4C" w:rsidRDefault="0020008D" w:rsidP="00480197">
      <w:pPr>
        <w:pStyle w:val="Heading2"/>
        <w:ind w:left="-540"/>
        <w:rPr>
          <w:rFonts w:ascii="Tahoma" w:hAnsi="Tahoma" w:cs="Tahoma"/>
          <w:i w:val="0"/>
          <w:sz w:val="22"/>
          <w:szCs w:val="22"/>
        </w:rPr>
      </w:pPr>
      <w:bookmarkStart w:id="30" w:name="_Toc178753435"/>
      <w:bookmarkStart w:id="31" w:name="_Toc526260605"/>
      <w:r w:rsidRPr="00485A4C">
        <w:rPr>
          <w:rFonts w:ascii="Tahoma" w:hAnsi="Tahoma" w:cs="Tahoma"/>
          <w:i w:val="0"/>
          <w:sz w:val="22"/>
          <w:szCs w:val="22"/>
        </w:rPr>
        <w:t>7</w:t>
      </w:r>
      <w:r w:rsidR="00BE65F3" w:rsidRPr="00485A4C">
        <w:rPr>
          <w:rFonts w:ascii="Tahoma" w:hAnsi="Tahoma" w:cs="Tahoma"/>
          <w:i w:val="0"/>
          <w:sz w:val="22"/>
          <w:szCs w:val="22"/>
        </w:rPr>
        <w:t>.4</w:t>
      </w:r>
      <w:r w:rsidR="00480197" w:rsidRPr="00485A4C">
        <w:rPr>
          <w:rFonts w:ascii="Tahoma" w:hAnsi="Tahoma" w:cs="Tahoma"/>
          <w:i w:val="0"/>
          <w:sz w:val="22"/>
          <w:szCs w:val="22"/>
        </w:rPr>
        <w:t>. Αποθέματα</w:t>
      </w:r>
      <w:bookmarkEnd w:id="30"/>
      <w:bookmarkEnd w:id="31"/>
    </w:p>
    <w:p w:rsidR="00480197" w:rsidRPr="00485A4C" w:rsidRDefault="00480197" w:rsidP="00480197">
      <w:pPr>
        <w:ind w:left="-540"/>
        <w:jc w:val="both"/>
        <w:rPr>
          <w:rFonts w:ascii="Tahoma" w:hAnsi="Tahoma" w:cs="Tahoma"/>
          <w:sz w:val="22"/>
          <w:szCs w:val="22"/>
        </w:rPr>
      </w:pPr>
    </w:p>
    <w:p w:rsidR="0097227F" w:rsidRPr="00485A4C" w:rsidRDefault="00480197" w:rsidP="00480197">
      <w:pPr>
        <w:spacing w:line="360" w:lineRule="auto"/>
        <w:ind w:left="-539"/>
        <w:jc w:val="both"/>
        <w:rPr>
          <w:rFonts w:ascii="Tahoma" w:hAnsi="Tahoma" w:cs="Tahoma"/>
          <w:sz w:val="22"/>
          <w:szCs w:val="22"/>
        </w:rPr>
      </w:pPr>
      <w:r w:rsidRPr="00485A4C">
        <w:rPr>
          <w:rFonts w:ascii="Tahoma" w:hAnsi="Tahoma" w:cs="Tahoma"/>
          <w:sz w:val="22"/>
          <w:szCs w:val="22"/>
        </w:rPr>
        <w:t xml:space="preserve">Κατωτέρω </w:t>
      </w:r>
      <w:r w:rsidR="007F08BC" w:rsidRPr="00485A4C">
        <w:rPr>
          <w:rFonts w:ascii="Tahoma" w:hAnsi="Tahoma" w:cs="Tahoma"/>
          <w:sz w:val="22"/>
          <w:szCs w:val="22"/>
        </w:rPr>
        <w:t>παρατίθεται ανάλυση  των αποθεμάτων και των αναλώσεων κατά την 31.12.201</w:t>
      </w:r>
      <w:r w:rsidR="000F032F">
        <w:rPr>
          <w:rFonts w:ascii="Tahoma" w:hAnsi="Tahoma" w:cs="Tahoma"/>
          <w:sz w:val="22"/>
          <w:szCs w:val="22"/>
        </w:rPr>
        <w:t>8</w:t>
      </w:r>
      <w:r w:rsidR="007F08BC" w:rsidRPr="00485A4C">
        <w:rPr>
          <w:rFonts w:ascii="Tahoma" w:hAnsi="Tahoma" w:cs="Tahoma"/>
          <w:sz w:val="22"/>
          <w:szCs w:val="22"/>
        </w:rPr>
        <w:t xml:space="preserve"> και 31.12.201</w:t>
      </w:r>
      <w:r w:rsidR="000F032F">
        <w:rPr>
          <w:rFonts w:ascii="Tahoma" w:hAnsi="Tahoma" w:cs="Tahoma"/>
          <w:sz w:val="22"/>
          <w:szCs w:val="22"/>
        </w:rPr>
        <w:t>7</w:t>
      </w:r>
      <w:r w:rsidR="007F08BC" w:rsidRPr="00485A4C">
        <w:rPr>
          <w:rFonts w:ascii="Tahoma" w:hAnsi="Tahoma" w:cs="Tahoma"/>
          <w:sz w:val="22"/>
          <w:szCs w:val="22"/>
        </w:rPr>
        <w:t>.</w:t>
      </w:r>
      <w:r w:rsidRPr="00485A4C">
        <w:rPr>
          <w:rFonts w:ascii="Tahoma" w:hAnsi="Tahoma" w:cs="Tahoma"/>
          <w:sz w:val="22"/>
          <w:szCs w:val="22"/>
        </w:rPr>
        <w:t xml:space="preserve"> </w:t>
      </w:r>
    </w:p>
    <w:tbl>
      <w:tblPr>
        <w:tblpPr w:leftFromText="180" w:rightFromText="180" w:vertAnchor="text" w:horzAnchor="margin" w:tblpXSpec="center" w:tblpY="261"/>
        <w:tblW w:w="9300" w:type="dxa"/>
        <w:tblLook w:val="04A0" w:firstRow="1" w:lastRow="0" w:firstColumn="1" w:lastColumn="0" w:noHBand="0" w:noVBand="1"/>
      </w:tblPr>
      <w:tblGrid>
        <w:gridCol w:w="3176"/>
        <w:gridCol w:w="2873"/>
        <w:gridCol w:w="3251"/>
      </w:tblGrid>
      <w:tr w:rsidR="000F032F" w:rsidTr="000F032F">
        <w:trPr>
          <w:trHeight w:val="276"/>
        </w:trPr>
        <w:tc>
          <w:tcPr>
            <w:tcW w:w="3176" w:type="dxa"/>
            <w:tcBorders>
              <w:top w:val="nil"/>
              <w:left w:val="nil"/>
              <w:bottom w:val="nil"/>
              <w:right w:val="nil"/>
            </w:tcBorders>
            <w:shd w:val="clear" w:color="000000" w:fill="E6E6E6"/>
            <w:noWrap/>
            <w:vAlign w:val="bottom"/>
            <w:hideMark/>
          </w:tcPr>
          <w:p w:rsidR="000F032F" w:rsidRDefault="000F032F" w:rsidP="000F032F">
            <w:pPr>
              <w:rPr>
                <w:rFonts w:ascii="Tahoma" w:hAnsi="Tahoma" w:cs="Tahoma"/>
                <w:sz w:val="18"/>
                <w:szCs w:val="18"/>
              </w:rPr>
            </w:pPr>
            <w:r>
              <w:rPr>
                <w:rFonts w:ascii="Tahoma" w:hAnsi="Tahoma" w:cs="Tahoma"/>
                <w:sz w:val="18"/>
                <w:szCs w:val="18"/>
              </w:rPr>
              <w:t> </w:t>
            </w:r>
          </w:p>
        </w:tc>
        <w:tc>
          <w:tcPr>
            <w:tcW w:w="6124" w:type="dxa"/>
            <w:gridSpan w:val="2"/>
            <w:tcBorders>
              <w:top w:val="nil"/>
              <w:left w:val="nil"/>
              <w:bottom w:val="nil"/>
              <w:right w:val="nil"/>
            </w:tcBorders>
            <w:shd w:val="clear" w:color="000000" w:fill="E6E6E6"/>
            <w:hideMark/>
          </w:tcPr>
          <w:p w:rsidR="000F032F" w:rsidRDefault="000F032F" w:rsidP="000F032F">
            <w:pPr>
              <w:jc w:val="center"/>
              <w:rPr>
                <w:rFonts w:ascii="Tahoma" w:hAnsi="Tahoma" w:cs="Tahoma"/>
                <w:b/>
                <w:bCs/>
                <w:sz w:val="18"/>
                <w:szCs w:val="18"/>
              </w:rPr>
            </w:pPr>
            <w:r>
              <w:rPr>
                <w:rFonts w:ascii="Tahoma" w:hAnsi="Tahoma" w:cs="Tahoma"/>
                <w:b/>
                <w:bCs/>
                <w:sz w:val="18"/>
                <w:szCs w:val="18"/>
              </w:rPr>
              <w:t>Εταιρεία</w:t>
            </w:r>
          </w:p>
        </w:tc>
      </w:tr>
      <w:tr w:rsidR="000F032F" w:rsidTr="000F032F">
        <w:trPr>
          <w:trHeight w:val="276"/>
        </w:trPr>
        <w:tc>
          <w:tcPr>
            <w:tcW w:w="3176" w:type="dxa"/>
            <w:tcBorders>
              <w:top w:val="nil"/>
              <w:left w:val="nil"/>
              <w:bottom w:val="nil"/>
              <w:right w:val="nil"/>
            </w:tcBorders>
            <w:shd w:val="clear" w:color="000000" w:fill="E6E6E6"/>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 </w:t>
            </w:r>
          </w:p>
        </w:tc>
        <w:tc>
          <w:tcPr>
            <w:tcW w:w="2873" w:type="dxa"/>
            <w:tcBorders>
              <w:top w:val="nil"/>
              <w:left w:val="nil"/>
              <w:bottom w:val="nil"/>
              <w:right w:val="nil"/>
            </w:tcBorders>
            <w:shd w:val="clear" w:color="000000" w:fill="E6E6E6"/>
            <w:noWrap/>
            <w:vAlign w:val="bottom"/>
            <w:hideMark/>
          </w:tcPr>
          <w:p w:rsidR="000F032F" w:rsidRDefault="000F032F" w:rsidP="000F032F">
            <w:pPr>
              <w:jc w:val="center"/>
              <w:rPr>
                <w:rFonts w:ascii="Tahoma" w:hAnsi="Tahoma" w:cs="Tahoma"/>
                <w:b/>
                <w:bCs/>
                <w:sz w:val="18"/>
                <w:szCs w:val="18"/>
              </w:rPr>
            </w:pPr>
            <w:r>
              <w:rPr>
                <w:rFonts w:ascii="Tahoma" w:hAnsi="Tahoma" w:cs="Tahoma"/>
                <w:b/>
                <w:bCs/>
                <w:sz w:val="18"/>
                <w:szCs w:val="18"/>
              </w:rPr>
              <w:t>31.12.2018</w:t>
            </w:r>
          </w:p>
        </w:tc>
        <w:tc>
          <w:tcPr>
            <w:tcW w:w="3251" w:type="dxa"/>
            <w:tcBorders>
              <w:top w:val="nil"/>
              <w:left w:val="nil"/>
              <w:bottom w:val="nil"/>
              <w:right w:val="nil"/>
            </w:tcBorders>
            <w:shd w:val="clear" w:color="000000" w:fill="E6E6E6"/>
            <w:noWrap/>
            <w:vAlign w:val="bottom"/>
            <w:hideMark/>
          </w:tcPr>
          <w:p w:rsidR="000F032F" w:rsidRDefault="000F032F" w:rsidP="000F032F">
            <w:pPr>
              <w:jc w:val="center"/>
              <w:rPr>
                <w:rFonts w:ascii="Tahoma" w:hAnsi="Tahoma" w:cs="Tahoma"/>
                <w:b/>
                <w:bCs/>
                <w:sz w:val="18"/>
                <w:szCs w:val="18"/>
              </w:rPr>
            </w:pPr>
            <w:r>
              <w:rPr>
                <w:rFonts w:ascii="Tahoma" w:hAnsi="Tahoma" w:cs="Tahoma"/>
                <w:b/>
                <w:bCs/>
                <w:sz w:val="18"/>
                <w:szCs w:val="18"/>
              </w:rPr>
              <w:t>31.12.2017</w:t>
            </w:r>
          </w:p>
        </w:tc>
      </w:tr>
      <w:tr w:rsidR="000F032F" w:rsidTr="000F032F">
        <w:trPr>
          <w:trHeight w:val="360"/>
        </w:trPr>
        <w:tc>
          <w:tcPr>
            <w:tcW w:w="3176" w:type="dxa"/>
            <w:tcBorders>
              <w:top w:val="nil"/>
              <w:left w:val="nil"/>
              <w:bottom w:val="nil"/>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Αποθέματα</w:t>
            </w:r>
          </w:p>
        </w:tc>
        <w:tc>
          <w:tcPr>
            <w:tcW w:w="2873"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638.880,66</w:t>
            </w:r>
          </w:p>
        </w:tc>
        <w:tc>
          <w:tcPr>
            <w:tcW w:w="3251"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565.623,85</w:t>
            </w:r>
          </w:p>
        </w:tc>
      </w:tr>
      <w:tr w:rsidR="000F032F" w:rsidTr="000F032F">
        <w:trPr>
          <w:trHeight w:val="165"/>
        </w:trPr>
        <w:tc>
          <w:tcPr>
            <w:tcW w:w="317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p>
        </w:tc>
        <w:tc>
          <w:tcPr>
            <w:tcW w:w="2873" w:type="dxa"/>
            <w:tcBorders>
              <w:top w:val="nil"/>
              <w:left w:val="nil"/>
              <w:bottom w:val="nil"/>
              <w:right w:val="nil"/>
            </w:tcBorders>
            <w:shd w:val="clear" w:color="auto" w:fill="auto"/>
            <w:noWrap/>
            <w:vAlign w:val="bottom"/>
            <w:hideMark/>
          </w:tcPr>
          <w:p w:rsidR="000F032F" w:rsidRDefault="000F032F" w:rsidP="000F032F">
            <w:pPr>
              <w:rPr>
                <w:sz w:val="20"/>
                <w:szCs w:val="20"/>
              </w:rPr>
            </w:pPr>
          </w:p>
        </w:tc>
        <w:tc>
          <w:tcPr>
            <w:tcW w:w="3251" w:type="dxa"/>
            <w:tcBorders>
              <w:top w:val="nil"/>
              <w:left w:val="nil"/>
              <w:bottom w:val="nil"/>
              <w:right w:val="nil"/>
            </w:tcBorders>
            <w:shd w:val="clear" w:color="auto" w:fill="auto"/>
            <w:noWrap/>
            <w:vAlign w:val="bottom"/>
            <w:hideMark/>
          </w:tcPr>
          <w:p w:rsidR="000F032F" w:rsidRDefault="000F032F" w:rsidP="000F032F">
            <w:pPr>
              <w:rPr>
                <w:sz w:val="20"/>
                <w:szCs w:val="20"/>
              </w:rPr>
            </w:pPr>
          </w:p>
        </w:tc>
      </w:tr>
      <w:tr w:rsidR="000F032F" w:rsidTr="000F032F">
        <w:trPr>
          <w:trHeight w:val="264"/>
        </w:trPr>
        <w:tc>
          <w:tcPr>
            <w:tcW w:w="3176" w:type="dxa"/>
            <w:tcBorders>
              <w:top w:val="nil"/>
              <w:left w:val="nil"/>
              <w:bottom w:val="nil"/>
              <w:right w:val="nil"/>
            </w:tcBorders>
            <w:shd w:val="clear" w:color="auto" w:fill="auto"/>
            <w:noWrap/>
            <w:vAlign w:val="bottom"/>
            <w:hideMark/>
          </w:tcPr>
          <w:p w:rsidR="000F032F" w:rsidRDefault="000F032F" w:rsidP="000F032F">
            <w:pPr>
              <w:rPr>
                <w:sz w:val="20"/>
                <w:szCs w:val="20"/>
              </w:rPr>
            </w:pPr>
          </w:p>
        </w:tc>
        <w:tc>
          <w:tcPr>
            <w:tcW w:w="2873"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c>
          <w:tcPr>
            <w:tcW w:w="3251"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0,00</w:t>
            </w:r>
          </w:p>
        </w:tc>
      </w:tr>
      <w:tr w:rsidR="000F032F" w:rsidTr="000F032F">
        <w:trPr>
          <w:trHeight w:val="264"/>
        </w:trPr>
        <w:tc>
          <w:tcPr>
            <w:tcW w:w="3176" w:type="dxa"/>
            <w:tcBorders>
              <w:top w:val="nil"/>
              <w:left w:val="nil"/>
              <w:bottom w:val="nil"/>
              <w:right w:val="nil"/>
            </w:tcBorders>
            <w:shd w:val="clear" w:color="auto" w:fill="auto"/>
            <w:noWrap/>
            <w:vAlign w:val="bottom"/>
            <w:hideMark/>
          </w:tcPr>
          <w:p w:rsidR="000F032F" w:rsidRDefault="000F032F" w:rsidP="000F032F">
            <w:pPr>
              <w:jc w:val="right"/>
              <w:rPr>
                <w:rFonts w:ascii="Tahoma" w:hAnsi="Tahoma" w:cs="Tahoma"/>
                <w:sz w:val="18"/>
                <w:szCs w:val="18"/>
              </w:rPr>
            </w:pPr>
          </w:p>
        </w:tc>
        <w:tc>
          <w:tcPr>
            <w:tcW w:w="2873" w:type="dxa"/>
            <w:tcBorders>
              <w:top w:val="nil"/>
              <w:left w:val="nil"/>
              <w:bottom w:val="nil"/>
              <w:right w:val="nil"/>
            </w:tcBorders>
            <w:shd w:val="clear" w:color="auto" w:fill="auto"/>
            <w:noWrap/>
            <w:vAlign w:val="bottom"/>
            <w:hideMark/>
          </w:tcPr>
          <w:p w:rsidR="000F032F" w:rsidRDefault="000F032F" w:rsidP="000F032F">
            <w:pPr>
              <w:rPr>
                <w:sz w:val="20"/>
                <w:szCs w:val="20"/>
              </w:rPr>
            </w:pPr>
          </w:p>
        </w:tc>
        <w:tc>
          <w:tcPr>
            <w:tcW w:w="3251" w:type="dxa"/>
            <w:tcBorders>
              <w:top w:val="nil"/>
              <w:left w:val="nil"/>
              <w:bottom w:val="nil"/>
              <w:right w:val="nil"/>
            </w:tcBorders>
            <w:shd w:val="clear" w:color="auto" w:fill="auto"/>
            <w:noWrap/>
            <w:vAlign w:val="bottom"/>
            <w:hideMark/>
          </w:tcPr>
          <w:p w:rsidR="000F032F" w:rsidRDefault="000F032F" w:rsidP="000F032F">
            <w:pPr>
              <w:rPr>
                <w:sz w:val="20"/>
                <w:szCs w:val="20"/>
              </w:rPr>
            </w:pPr>
          </w:p>
        </w:tc>
      </w:tr>
      <w:tr w:rsidR="000F032F" w:rsidTr="000F032F">
        <w:trPr>
          <w:trHeight w:val="264"/>
        </w:trPr>
        <w:tc>
          <w:tcPr>
            <w:tcW w:w="3176" w:type="dxa"/>
            <w:tcBorders>
              <w:top w:val="nil"/>
              <w:left w:val="nil"/>
              <w:bottom w:val="nil"/>
              <w:right w:val="nil"/>
            </w:tcBorders>
            <w:shd w:val="clear" w:color="000000" w:fill="F2F2F2"/>
            <w:hideMark/>
          </w:tcPr>
          <w:p w:rsidR="000F032F" w:rsidRDefault="000F032F" w:rsidP="000F032F">
            <w:pPr>
              <w:jc w:val="center"/>
              <w:rPr>
                <w:rFonts w:ascii="Tahoma" w:hAnsi="Tahoma" w:cs="Tahoma"/>
                <w:b/>
                <w:bCs/>
                <w:sz w:val="18"/>
                <w:szCs w:val="18"/>
              </w:rPr>
            </w:pPr>
            <w:r>
              <w:rPr>
                <w:rFonts w:ascii="Tahoma" w:hAnsi="Tahoma" w:cs="Tahoma"/>
                <w:b/>
                <w:bCs/>
                <w:sz w:val="18"/>
                <w:szCs w:val="18"/>
              </w:rPr>
              <w:t> </w:t>
            </w:r>
          </w:p>
        </w:tc>
        <w:tc>
          <w:tcPr>
            <w:tcW w:w="2873" w:type="dxa"/>
            <w:tcBorders>
              <w:top w:val="nil"/>
              <w:left w:val="nil"/>
              <w:bottom w:val="nil"/>
              <w:right w:val="nil"/>
            </w:tcBorders>
            <w:shd w:val="clear" w:color="000000" w:fill="F2F2F2"/>
            <w:vAlign w:val="bottom"/>
            <w:hideMark/>
          </w:tcPr>
          <w:p w:rsidR="000F032F" w:rsidRDefault="000F032F" w:rsidP="000F032F">
            <w:pPr>
              <w:jc w:val="center"/>
              <w:rPr>
                <w:rFonts w:ascii="Tahoma" w:hAnsi="Tahoma" w:cs="Tahoma"/>
                <w:b/>
                <w:bCs/>
                <w:sz w:val="18"/>
                <w:szCs w:val="18"/>
              </w:rPr>
            </w:pPr>
            <w:r>
              <w:rPr>
                <w:rFonts w:ascii="Tahoma" w:hAnsi="Tahoma" w:cs="Tahoma"/>
                <w:b/>
                <w:bCs/>
                <w:sz w:val="18"/>
                <w:szCs w:val="18"/>
              </w:rPr>
              <w:t>01.01.18 - 31.12.18</w:t>
            </w:r>
          </w:p>
        </w:tc>
        <w:tc>
          <w:tcPr>
            <w:tcW w:w="3251" w:type="dxa"/>
            <w:tcBorders>
              <w:top w:val="nil"/>
              <w:left w:val="nil"/>
              <w:bottom w:val="nil"/>
              <w:right w:val="nil"/>
            </w:tcBorders>
            <w:shd w:val="clear" w:color="000000" w:fill="F2F2F2"/>
            <w:vAlign w:val="bottom"/>
            <w:hideMark/>
          </w:tcPr>
          <w:p w:rsidR="000F032F" w:rsidRDefault="000F032F" w:rsidP="000F032F">
            <w:pPr>
              <w:jc w:val="center"/>
              <w:rPr>
                <w:rFonts w:ascii="Tahoma" w:hAnsi="Tahoma" w:cs="Tahoma"/>
                <w:b/>
                <w:bCs/>
                <w:sz w:val="18"/>
                <w:szCs w:val="18"/>
              </w:rPr>
            </w:pPr>
            <w:r>
              <w:rPr>
                <w:rFonts w:ascii="Tahoma" w:hAnsi="Tahoma" w:cs="Tahoma"/>
                <w:b/>
                <w:bCs/>
                <w:sz w:val="18"/>
                <w:szCs w:val="18"/>
              </w:rPr>
              <w:t>01.01.17 - 31.12.17</w:t>
            </w:r>
          </w:p>
        </w:tc>
      </w:tr>
      <w:tr w:rsidR="000F032F" w:rsidTr="000F032F">
        <w:trPr>
          <w:trHeight w:val="360"/>
        </w:trPr>
        <w:tc>
          <w:tcPr>
            <w:tcW w:w="3176" w:type="dxa"/>
            <w:tcBorders>
              <w:top w:val="nil"/>
              <w:left w:val="nil"/>
              <w:bottom w:val="nil"/>
              <w:right w:val="nil"/>
            </w:tcBorders>
            <w:shd w:val="clear" w:color="auto" w:fill="auto"/>
            <w:noWrap/>
            <w:vAlign w:val="bottom"/>
            <w:hideMark/>
          </w:tcPr>
          <w:p w:rsidR="000F032F" w:rsidRDefault="000F032F" w:rsidP="000F032F">
            <w:pPr>
              <w:rPr>
                <w:rFonts w:ascii="Tahoma" w:hAnsi="Tahoma" w:cs="Tahoma"/>
                <w:sz w:val="18"/>
                <w:szCs w:val="18"/>
              </w:rPr>
            </w:pPr>
            <w:r>
              <w:rPr>
                <w:rFonts w:ascii="Tahoma" w:hAnsi="Tahoma" w:cs="Tahoma"/>
                <w:sz w:val="18"/>
                <w:szCs w:val="18"/>
              </w:rPr>
              <w:t>Αναλώσεις</w:t>
            </w:r>
          </w:p>
        </w:tc>
        <w:tc>
          <w:tcPr>
            <w:tcW w:w="2873"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1.317.512,17</w:t>
            </w:r>
          </w:p>
        </w:tc>
        <w:tc>
          <w:tcPr>
            <w:tcW w:w="3251" w:type="dxa"/>
            <w:tcBorders>
              <w:top w:val="nil"/>
              <w:left w:val="nil"/>
              <w:bottom w:val="double" w:sz="6" w:space="0" w:color="auto"/>
              <w:right w:val="nil"/>
            </w:tcBorders>
            <w:shd w:val="clear" w:color="auto" w:fill="auto"/>
            <w:noWrap/>
            <w:vAlign w:val="bottom"/>
            <w:hideMark/>
          </w:tcPr>
          <w:p w:rsidR="000F032F" w:rsidRDefault="000F032F" w:rsidP="000F032F">
            <w:pPr>
              <w:jc w:val="right"/>
              <w:rPr>
                <w:rFonts w:ascii="Tahoma" w:hAnsi="Tahoma" w:cs="Tahoma"/>
                <w:sz w:val="18"/>
                <w:szCs w:val="18"/>
              </w:rPr>
            </w:pPr>
            <w:r>
              <w:rPr>
                <w:rFonts w:ascii="Tahoma" w:hAnsi="Tahoma" w:cs="Tahoma"/>
                <w:sz w:val="18"/>
                <w:szCs w:val="18"/>
              </w:rPr>
              <w:t>1.462.017,84</w:t>
            </w:r>
          </w:p>
        </w:tc>
      </w:tr>
    </w:tbl>
    <w:p w:rsidR="007F08BC" w:rsidRPr="00485A4C" w:rsidRDefault="007F08BC" w:rsidP="000F032F">
      <w:pPr>
        <w:spacing w:line="360" w:lineRule="auto"/>
        <w:jc w:val="both"/>
        <w:rPr>
          <w:rFonts w:ascii="Tahoma" w:hAnsi="Tahoma" w:cs="Tahoma"/>
          <w:sz w:val="22"/>
          <w:szCs w:val="22"/>
        </w:rPr>
      </w:pPr>
    </w:p>
    <w:p w:rsidR="00480197" w:rsidRPr="00485A4C" w:rsidRDefault="00480197" w:rsidP="00480197">
      <w:pPr>
        <w:spacing w:line="360" w:lineRule="auto"/>
        <w:ind w:left="-539"/>
        <w:jc w:val="both"/>
        <w:rPr>
          <w:rFonts w:ascii="Tahoma" w:hAnsi="Tahoma" w:cs="Tahoma"/>
          <w:sz w:val="22"/>
          <w:szCs w:val="22"/>
        </w:rPr>
      </w:pPr>
      <w:r w:rsidRPr="00485A4C">
        <w:rPr>
          <w:rFonts w:ascii="Tahoma" w:hAnsi="Tahoma" w:cs="Tahoma"/>
          <w:sz w:val="22"/>
          <w:szCs w:val="22"/>
        </w:rPr>
        <w:t>Η ανάλυση των αποθεμάτων ανά κατηγορία είναι η παρακάτω:</w:t>
      </w:r>
    </w:p>
    <w:p w:rsidR="003031BE" w:rsidRPr="00485A4C" w:rsidRDefault="003031BE" w:rsidP="00480197">
      <w:pPr>
        <w:spacing w:line="360" w:lineRule="auto"/>
        <w:ind w:left="-539"/>
        <w:jc w:val="both"/>
        <w:rPr>
          <w:rFonts w:ascii="Tahoma" w:hAnsi="Tahoma" w:cs="Tahoma"/>
          <w:sz w:val="22"/>
          <w:szCs w:val="22"/>
        </w:rPr>
      </w:pPr>
    </w:p>
    <w:p w:rsidR="00480197" w:rsidRPr="00485A4C" w:rsidRDefault="00480197" w:rsidP="00480197">
      <w:pPr>
        <w:spacing w:line="360" w:lineRule="auto"/>
        <w:ind w:left="-539"/>
        <w:jc w:val="both"/>
        <w:rPr>
          <w:rFonts w:ascii="Tahoma" w:hAnsi="Tahoma" w:cs="Tahoma"/>
          <w:b/>
          <w:sz w:val="22"/>
          <w:szCs w:val="22"/>
        </w:rPr>
      </w:pPr>
      <w:r w:rsidRPr="00485A4C">
        <w:rPr>
          <w:rFonts w:ascii="Tahoma" w:hAnsi="Tahoma" w:cs="Tahoma"/>
          <w:b/>
          <w:sz w:val="22"/>
          <w:szCs w:val="22"/>
        </w:rPr>
        <w:t>Τελικό Απόθεμα</w:t>
      </w:r>
    </w:p>
    <w:tbl>
      <w:tblPr>
        <w:tblW w:w="9348" w:type="dxa"/>
        <w:tblInd w:w="-1125" w:type="dxa"/>
        <w:tblLook w:val="04A0" w:firstRow="1" w:lastRow="0" w:firstColumn="1" w:lastColumn="0" w:noHBand="0" w:noVBand="1"/>
      </w:tblPr>
      <w:tblGrid>
        <w:gridCol w:w="3176"/>
        <w:gridCol w:w="2896"/>
        <w:gridCol w:w="3276"/>
      </w:tblGrid>
      <w:tr w:rsidR="000F032F" w:rsidTr="000F032F">
        <w:trPr>
          <w:trHeight w:val="276"/>
        </w:trPr>
        <w:tc>
          <w:tcPr>
            <w:tcW w:w="3176" w:type="dxa"/>
            <w:tcBorders>
              <w:top w:val="nil"/>
              <w:left w:val="nil"/>
              <w:bottom w:val="nil"/>
              <w:right w:val="nil"/>
            </w:tcBorders>
            <w:shd w:val="clear" w:color="000000" w:fill="E6E6E6"/>
            <w:noWrap/>
            <w:vAlign w:val="bottom"/>
            <w:hideMark/>
          </w:tcPr>
          <w:p w:rsidR="000F032F" w:rsidRDefault="000F032F">
            <w:pPr>
              <w:rPr>
                <w:rFonts w:ascii="Tahoma" w:hAnsi="Tahoma" w:cs="Tahoma"/>
                <w:b/>
                <w:bCs/>
                <w:sz w:val="18"/>
                <w:szCs w:val="18"/>
              </w:rPr>
            </w:pPr>
            <w:r>
              <w:rPr>
                <w:rFonts w:ascii="Tahoma" w:hAnsi="Tahoma" w:cs="Tahoma"/>
                <w:b/>
                <w:bCs/>
                <w:sz w:val="18"/>
                <w:szCs w:val="18"/>
              </w:rPr>
              <w:t>Κατηγορία αποθεμάτων</w:t>
            </w:r>
          </w:p>
        </w:tc>
        <w:tc>
          <w:tcPr>
            <w:tcW w:w="2896" w:type="dxa"/>
            <w:tcBorders>
              <w:top w:val="nil"/>
              <w:left w:val="nil"/>
              <w:bottom w:val="nil"/>
              <w:right w:val="nil"/>
            </w:tcBorders>
            <w:shd w:val="clear" w:color="000000" w:fill="E6E6E6"/>
            <w:noWrap/>
            <w:vAlign w:val="bottom"/>
            <w:hideMark/>
          </w:tcPr>
          <w:p w:rsidR="000F032F" w:rsidRDefault="000F032F">
            <w:pPr>
              <w:jc w:val="center"/>
              <w:rPr>
                <w:rFonts w:ascii="Tahoma" w:hAnsi="Tahoma" w:cs="Tahoma"/>
                <w:b/>
                <w:bCs/>
                <w:sz w:val="18"/>
                <w:szCs w:val="18"/>
              </w:rPr>
            </w:pPr>
            <w:r>
              <w:rPr>
                <w:rFonts w:ascii="Tahoma" w:hAnsi="Tahoma" w:cs="Tahoma"/>
                <w:b/>
                <w:bCs/>
                <w:sz w:val="18"/>
                <w:szCs w:val="18"/>
              </w:rPr>
              <w:t>31.12.2018</w:t>
            </w:r>
          </w:p>
        </w:tc>
        <w:tc>
          <w:tcPr>
            <w:tcW w:w="3276" w:type="dxa"/>
            <w:tcBorders>
              <w:top w:val="nil"/>
              <w:left w:val="nil"/>
              <w:bottom w:val="nil"/>
              <w:right w:val="nil"/>
            </w:tcBorders>
            <w:shd w:val="clear" w:color="000000" w:fill="E6E6E6"/>
            <w:noWrap/>
            <w:vAlign w:val="bottom"/>
            <w:hideMark/>
          </w:tcPr>
          <w:p w:rsidR="000F032F" w:rsidRDefault="000F032F">
            <w:pPr>
              <w:jc w:val="center"/>
              <w:rPr>
                <w:rFonts w:ascii="Tahoma" w:hAnsi="Tahoma" w:cs="Tahoma"/>
                <w:b/>
                <w:bCs/>
                <w:sz w:val="18"/>
                <w:szCs w:val="18"/>
              </w:rPr>
            </w:pPr>
            <w:r>
              <w:rPr>
                <w:rFonts w:ascii="Tahoma" w:hAnsi="Tahoma" w:cs="Tahoma"/>
                <w:b/>
                <w:bCs/>
                <w:sz w:val="18"/>
                <w:szCs w:val="18"/>
              </w:rPr>
              <w:t>31.12.2017</w:t>
            </w:r>
          </w:p>
        </w:tc>
      </w:tr>
      <w:tr w:rsidR="000F032F" w:rsidTr="000F032F">
        <w:trPr>
          <w:trHeight w:val="360"/>
        </w:trPr>
        <w:tc>
          <w:tcPr>
            <w:tcW w:w="3176" w:type="dxa"/>
            <w:tcBorders>
              <w:top w:val="nil"/>
              <w:left w:val="nil"/>
              <w:bottom w:val="nil"/>
              <w:right w:val="nil"/>
            </w:tcBorders>
            <w:shd w:val="clear" w:color="auto" w:fill="auto"/>
            <w:vAlign w:val="center"/>
            <w:hideMark/>
          </w:tcPr>
          <w:p w:rsidR="000F032F" w:rsidRDefault="000F032F">
            <w:pPr>
              <w:rPr>
                <w:rFonts w:ascii="Tahoma" w:hAnsi="Tahoma" w:cs="Tahoma"/>
                <w:sz w:val="18"/>
                <w:szCs w:val="18"/>
              </w:rPr>
            </w:pPr>
            <w:r>
              <w:rPr>
                <w:rFonts w:ascii="Tahoma" w:hAnsi="Tahoma" w:cs="Tahoma"/>
                <w:sz w:val="18"/>
                <w:szCs w:val="18"/>
              </w:rPr>
              <w:t>Έτοιμα παγωτά</w:t>
            </w:r>
          </w:p>
        </w:tc>
        <w:tc>
          <w:tcPr>
            <w:tcW w:w="2896" w:type="dxa"/>
            <w:tcBorders>
              <w:top w:val="nil"/>
              <w:left w:val="nil"/>
              <w:bottom w:val="nil"/>
              <w:right w:val="nil"/>
            </w:tcBorders>
            <w:shd w:val="clear" w:color="auto" w:fill="auto"/>
            <w:vAlign w:val="center"/>
            <w:hideMark/>
          </w:tcPr>
          <w:p w:rsidR="000F032F" w:rsidRDefault="000F032F">
            <w:pPr>
              <w:jc w:val="right"/>
              <w:rPr>
                <w:rFonts w:ascii="Tahoma" w:hAnsi="Tahoma" w:cs="Tahoma"/>
                <w:sz w:val="18"/>
                <w:szCs w:val="18"/>
              </w:rPr>
            </w:pPr>
            <w:r>
              <w:rPr>
                <w:rFonts w:ascii="Tahoma" w:hAnsi="Tahoma" w:cs="Tahoma"/>
                <w:sz w:val="18"/>
                <w:szCs w:val="18"/>
              </w:rPr>
              <w:t>336.727,00</w:t>
            </w:r>
          </w:p>
        </w:tc>
        <w:tc>
          <w:tcPr>
            <w:tcW w:w="3276" w:type="dxa"/>
            <w:tcBorders>
              <w:top w:val="nil"/>
              <w:left w:val="nil"/>
              <w:bottom w:val="nil"/>
              <w:right w:val="nil"/>
            </w:tcBorders>
            <w:shd w:val="clear" w:color="auto" w:fill="auto"/>
            <w:vAlign w:val="center"/>
            <w:hideMark/>
          </w:tcPr>
          <w:p w:rsidR="000F032F" w:rsidRDefault="000F032F">
            <w:pPr>
              <w:jc w:val="right"/>
              <w:rPr>
                <w:rFonts w:ascii="Tahoma" w:hAnsi="Tahoma" w:cs="Tahoma"/>
                <w:sz w:val="18"/>
                <w:szCs w:val="18"/>
              </w:rPr>
            </w:pPr>
            <w:r>
              <w:rPr>
                <w:rFonts w:ascii="Tahoma" w:hAnsi="Tahoma" w:cs="Tahoma"/>
                <w:sz w:val="18"/>
                <w:szCs w:val="18"/>
              </w:rPr>
              <w:t>341.828,20</w:t>
            </w:r>
          </w:p>
        </w:tc>
      </w:tr>
      <w:tr w:rsidR="000F032F" w:rsidTr="000F032F">
        <w:trPr>
          <w:trHeight w:val="360"/>
        </w:trPr>
        <w:tc>
          <w:tcPr>
            <w:tcW w:w="3176" w:type="dxa"/>
            <w:tcBorders>
              <w:top w:val="nil"/>
              <w:left w:val="nil"/>
              <w:bottom w:val="nil"/>
              <w:right w:val="nil"/>
            </w:tcBorders>
            <w:shd w:val="clear" w:color="auto" w:fill="auto"/>
            <w:vAlign w:val="center"/>
            <w:hideMark/>
          </w:tcPr>
          <w:p w:rsidR="000F032F" w:rsidRDefault="000F032F">
            <w:pPr>
              <w:rPr>
                <w:rFonts w:ascii="Tahoma" w:hAnsi="Tahoma" w:cs="Tahoma"/>
                <w:sz w:val="18"/>
                <w:szCs w:val="18"/>
              </w:rPr>
            </w:pPr>
            <w:r>
              <w:rPr>
                <w:rFonts w:ascii="Tahoma" w:hAnsi="Tahoma" w:cs="Tahoma"/>
                <w:sz w:val="18"/>
                <w:szCs w:val="18"/>
              </w:rPr>
              <w:t>Πρώτες και βοηθητικές ύλες</w:t>
            </w:r>
          </w:p>
        </w:tc>
        <w:tc>
          <w:tcPr>
            <w:tcW w:w="2896" w:type="dxa"/>
            <w:tcBorders>
              <w:top w:val="nil"/>
              <w:left w:val="nil"/>
              <w:bottom w:val="nil"/>
              <w:right w:val="nil"/>
            </w:tcBorders>
            <w:shd w:val="clear" w:color="auto" w:fill="auto"/>
            <w:vAlign w:val="center"/>
            <w:hideMark/>
          </w:tcPr>
          <w:p w:rsidR="000F032F" w:rsidRDefault="000F032F">
            <w:pPr>
              <w:jc w:val="right"/>
              <w:rPr>
                <w:rFonts w:ascii="Tahoma" w:hAnsi="Tahoma" w:cs="Tahoma"/>
                <w:sz w:val="18"/>
                <w:szCs w:val="18"/>
              </w:rPr>
            </w:pPr>
            <w:r>
              <w:rPr>
                <w:rFonts w:ascii="Tahoma" w:hAnsi="Tahoma" w:cs="Tahoma"/>
                <w:sz w:val="18"/>
                <w:szCs w:val="18"/>
              </w:rPr>
              <w:t>201.263,97</w:t>
            </w:r>
          </w:p>
        </w:tc>
        <w:tc>
          <w:tcPr>
            <w:tcW w:w="3276" w:type="dxa"/>
            <w:tcBorders>
              <w:top w:val="nil"/>
              <w:left w:val="nil"/>
              <w:bottom w:val="nil"/>
              <w:right w:val="nil"/>
            </w:tcBorders>
            <w:shd w:val="clear" w:color="auto" w:fill="auto"/>
            <w:vAlign w:val="center"/>
            <w:hideMark/>
          </w:tcPr>
          <w:p w:rsidR="000F032F" w:rsidRDefault="000F032F">
            <w:pPr>
              <w:jc w:val="right"/>
              <w:rPr>
                <w:rFonts w:ascii="Tahoma" w:hAnsi="Tahoma" w:cs="Tahoma"/>
                <w:sz w:val="18"/>
                <w:szCs w:val="18"/>
              </w:rPr>
            </w:pPr>
            <w:r>
              <w:rPr>
                <w:rFonts w:ascii="Tahoma" w:hAnsi="Tahoma" w:cs="Tahoma"/>
                <w:sz w:val="18"/>
                <w:szCs w:val="18"/>
              </w:rPr>
              <w:t>170.883,48</w:t>
            </w:r>
          </w:p>
        </w:tc>
      </w:tr>
      <w:tr w:rsidR="000F032F" w:rsidTr="000F032F">
        <w:trPr>
          <w:trHeight w:val="360"/>
        </w:trPr>
        <w:tc>
          <w:tcPr>
            <w:tcW w:w="3176" w:type="dxa"/>
            <w:tcBorders>
              <w:top w:val="nil"/>
              <w:left w:val="nil"/>
              <w:bottom w:val="nil"/>
              <w:right w:val="nil"/>
            </w:tcBorders>
            <w:shd w:val="clear" w:color="auto" w:fill="auto"/>
            <w:vAlign w:val="center"/>
            <w:hideMark/>
          </w:tcPr>
          <w:p w:rsidR="000F032F" w:rsidRDefault="000F032F">
            <w:pPr>
              <w:rPr>
                <w:rFonts w:ascii="Tahoma" w:hAnsi="Tahoma" w:cs="Tahoma"/>
                <w:sz w:val="18"/>
                <w:szCs w:val="18"/>
              </w:rPr>
            </w:pPr>
            <w:r>
              <w:rPr>
                <w:rFonts w:ascii="Tahoma" w:hAnsi="Tahoma" w:cs="Tahoma"/>
                <w:sz w:val="18"/>
                <w:szCs w:val="18"/>
              </w:rPr>
              <w:t>Υλικά συσκευασίας</w:t>
            </w:r>
          </w:p>
        </w:tc>
        <w:tc>
          <w:tcPr>
            <w:tcW w:w="2896" w:type="dxa"/>
            <w:tcBorders>
              <w:top w:val="nil"/>
              <w:left w:val="nil"/>
              <w:bottom w:val="nil"/>
              <w:right w:val="nil"/>
            </w:tcBorders>
            <w:shd w:val="clear" w:color="auto" w:fill="auto"/>
            <w:vAlign w:val="center"/>
            <w:hideMark/>
          </w:tcPr>
          <w:p w:rsidR="000F032F" w:rsidRDefault="000F032F">
            <w:pPr>
              <w:jc w:val="right"/>
              <w:rPr>
                <w:rFonts w:ascii="Tahoma" w:hAnsi="Tahoma" w:cs="Tahoma"/>
                <w:sz w:val="18"/>
                <w:szCs w:val="18"/>
              </w:rPr>
            </w:pPr>
            <w:r>
              <w:rPr>
                <w:rFonts w:ascii="Tahoma" w:hAnsi="Tahoma" w:cs="Tahoma"/>
                <w:sz w:val="18"/>
                <w:szCs w:val="18"/>
              </w:rPr>
              <w:t>100.889,69</w:t>
            </w:r>
          </w:p>
        </w:tc>
        <w:tc>
          <w:tcPr>
            <w:tcW w:w="3276" w:type="dxa"/>
            <w:tcBorders>
              <w:top w:val="nil"/>
              <w:left w:val="nil"/>
              <w:bottom w:val="nil"/>
              <w:right w:val="nil"/>
            </w:tcBorders>
            <w:shd w:val="clear" w:color="auto" w:fill="auto"/>
            <w:vAlign w:val="center"/>
            <w:hideMark/>
          </w:tcPr>
          <w:p w:rsidR="000F032F" w:rsidRDefault="000F032F">
            <w:pPr>
              <w:jc w:val="right"/>
              <w:rPr>
                <w:rFonts w:ascii="Tahoma" w:hAnsi="Tahoma" w:cs="Tahoma"/>
                <w:sz w:val="18"/>
                <w:szCs w:val="18"/>
              </w:rPr>
            </w:pPr>
            <w:r>
              <w:rPr>
                <w:rFonts w:ascii="Tahoma" w:hAnsi="Tahoma" w:cs="Tahoma"/>
                <w:sz w:val="18"/>
                <w:szCs w:val="18"/>
              </w:rPr>
              <w:t>52.912,17</w:t>
            </w:r>
          </w:p>
        </w:tc>
      </w:tr>
      <w:tr w:rsidR="000F032F" w:rsidTr="000F032F">
        <w:trPr>
          <w:trHeight w:val="360"/>
        </w:trPr>
        <w:tc>
          <w:tcPr>
            <w:tcW w:w="3176" w:type="dxa"/>
            <w:tcBorders>
              <w:top w:val="nil"/>
              <w:left w:val="nil"/>
              <w:bottom w:val="nil"/>
              <w:right w:val="nil"/>
            </w:tcBorders>
            <w:shd w:val="clear" w:color="auto" w:fill="auto"/>
            <w:vAlign w:val="center"/>
            <w:hideMark/>
          </w:tcPr>
          <w:p w:rsidR="000F032F" w:rsidRDefault="000F032F">
            <w:pPr>
              <w:rPr>
                <w:rFonts w:ascii="Tahoma" w:hAnsi="Tahoma" w:cs="Tahoma"/>
                <w:b/>
                <w:bCs/>
                <w:sz w:val="18"/>
                <w:szCs w:val="18"/>
              </w:rPr>
            </w:pPr>
            <w:r>
              <w:rPr>
                <w:rFonts w:ascii="Tahoma" w:hAnsi="Tahoma" w:cs="Tahoma"/>
                <w:b/>
                <w:bCs/>
                <w:sz w:val="18"/>
                <w:szCs w:val="18"/>
              </w:rPr>
              <w:t>Σύνολο</w:t>
            </w:r>
          </w:p>
        </w:tc>
        <w:tc>
          <w:tcPr>
            <w:tcW w:w="2896" w:type="dxa"/>
            <w:tcBorders>
              <w:top w:val="nil"/>
              <w:left w:val="nil"/>
              <w:bottom w:val="double" w:sz="6" w:space="0" w:color="auto"/>
              <w:right w:val="nil"/>
            </w:tcBorders>
            <w:shd w:val="clear" w:color="auto" w:fill="auto"/>
            <w:vAlign w:val="center"/>
            <w:hideMark/>
          </w:tcPr>
          <w:p w:rsidR="000F032F" w:rsidRDefault="000F032F">
            <w:pPr>
              <w:jc w:val="right"/>
              <w:rPr>
                <w:rFonts w:ascii="Tahoma" w:hAnsi="Tahoma" w:cs="Tahoma"/>
                <w:b/>
                <w:bCs/>
                <w:sz w:val="18"/>
                <w:szCs w:val="18"/>
              </w:rPr>
            </w:pPr>
            <w:r>
              <w:rPr>
                <w:rFonts w:ascii="Tahoma" w:hAnsi="Tahoma" w:cs="Tahoma"/>
                <w:b/>
                <w:bCs/>
                <w:sz w:val="18"/>
                <w:szCs w:val="18"/>
              </w:rPr>
              <w:t>638.880,66</w:t>
            </w:r>
          </w:p>
        </w:tc>
        <w:tc>
          <w:tcPr>
            <w:tcW w:w="3276" w:type="dxa"/>
            <w:tcBorders>
              <w:top w:val="nil"/>
              <w:left w:val="nil"/>
              <w:bottom w:val="double" w:sz="6" w:space="0" w:color="auto"/>
              <w:right w:val="nil"/>
            </w:tcBorders>
            <w:shd w:val="clear" w:color="auto" w:fill="auto"/>
            <w:vAlign w:val="center"/>
            <w:hideMark/>
          </w:tcPr>
          <w:p w:rsidR="000F032F" w:rsidRDefault="000F032F">
            <w:pPr>
              <w:jc w:val="right"/>
              <w:rPr>
                <w:rFonts w:ascii="Tahoma" w:hAnsi="Tahoma" w:cs="Tahoma"/>
                <w:b/>
                <w:bCs/>
                <w:sz w:val="18"/>
                <w:szCs w:val="18"/>
              </w:rPr>
            </w:pPr>
            <w:r>
              <w:rPr>
                <w:rFonts w:ascii="Tahoma" w:hAnsi="Tahoma" w:cs="Tahoma"/>
                <w:b/>
                <w:bCs/>
                <w:sz w:val="18"/>
                <w:szCs w:val="18"/>
              </w:rPr>
              <w:t>565.623,85</w:t>
            </w:r>
          </w:p>
        </w:tc>
      </w:tr>
    </w:tbl>
    <w:p w:rsidR="009B4CE0" w:rsidRPr="00485A4C" w:rsidRDefault="009B4CE0" w:rsidP="006A220C">
      <w:pPr>
        <w:spacing w:line="360" w:lineRule="auto"/>
        <w:ind w:left="-284"/>
        <w:jc w:val="both"/>
        <w:rPr>
          <w:rFonts w:ascii="Tahoma" w:hAnsi="Tahoma" w:cs="Tahoma"/>
          <w:sz w:val="22"/>
          <w:szCs w:val="22"/>
        </w:rPr>
      </w:pPr>
    </w:p>
    <w:p w:rsidR="003031BE" w:rsidRDefault="003031BE" w:rsidP="006A220C">
      <w:pPr>
        <w:spacing w:line="360" w:lineRule="auto"/>
        <w:ind w:left="-284"/>
        <w:jc w:val="both"/>
        <w:rPr>
          <w:rFonts w:ascii="Tahoma" w:hAnsi="Tahoma" w:cs="Tahoma"/>
          <w:b/>
          <w:sz w:val="22"/>
          <w:szCs w:val="22"/>
        </w:rPr>
      </w:pPr>
    </w:p>
    <w:p w:rsidR="000F032F" w:rsidRDefault="000F032F" w:rsidP="006A220C">
      <w:pPr>
        <w:spacing w:line="360" w:lineRule="auto"/>
        <w:ind w:left="-284"/>
        <w:jc w:val="both"/>
        <w:rPr>
          <w:rFonts w:ascii="Tahoma" w:hAnsi="Tahoma" w:cs="Tahoma"/>
          <w:b/>
          <w:sz w:val="22"/>
          <w:szCs w:val="22"/>
        </w:rPr>
      </w:pPr>
    </w:p>
    <w:p w:rsidR="000F032F" w:rsidRPr="00485A4C" w:rsidRDefault="000F032F" w:rsidP="006A220C">
      <w:pPr>
        <w:spacing w:line="360" w:lineRule="auto"/>
        <w:ind w:left="-284"/>
        <w:jc w:val="both"/>
        <w:rPr>
          <w:rFonts w:ascii="Tahoma" w:hAnsi="Tahoma" w:cs="Tahoma"/>
          <w:b/>
          <w:sz w:val="22"/>
          <w:szCs w:val="22"/>
        </w:rPr>
      </w:pPr>
    </w:p>
    <w:p w:rsidR="00480197" w:rsidRPr="00485A4C" w:rsidRDefault="0020008D" w:rsidP="00480197">
      <w:pPr>
        <w:pStyle w:val="Heading2"/>
        <w:ind w:left="-540"/>
        <w:rPr>
          <w:rFonts w:ascii="Tahoma" w:hAnsi="Tahoma" w:cs="Tahoma"/>
          <w:i w:val="0"/>
          <w:sz w:val="22"/>
          <w:szCs w:val="22"/>
        </w:rPr>
      </w:pPr>
      <w:bookmarkStart w:id="32" w:name="_Toc178753436"/>
      <w:bookmarkStart w:id="33" w:name="_Toc526260606"/>
      <w:r w:rsidRPr="00485A4C">
        <w:rPr>
          <w:rFonts w:ascii="Tahoma" w:hAnsi="Tahoma" w:cs="Tahoma"/>
          <w:i w:val="0"/>
          <w:sz w:val="22"/>
          <w:szCs w:val="22"/>
        </w:rPr>
        <w:lastRenderedPageBreak/>
        <w:t>7</w:t>
      </w:r>
      <w:r w:rsidR="00BE65F3" w:rsidRPr="00485A4C">
        <w:rPr>
          <w:rFonts w:ascii="Tahoma" w:hAnsi="Tahoma" w:cs="Tahoma"/>
          <w:i w:val="0"/>
          <w:sz w:val="22"/>
          <w:szCs w:val="22"/>
        </w:rPr>
        <w:t>.5</w:t>
      </w:r>
      <w:r w:rsidR="00480197" w:rsidRPr="00485A4C">
        <w:rPr>
          <w:rFonts w:ascii="Tahoma" w:hAnsi="Tahoma" w:cs="Tahoma"/>
          <w:i w:val="0"/>
          <w:sz w:val="22"/>
          <w:szCs w:val="22"/>
        </w:rPr>
        <w:t>. Πελάτες και λοιπές εμπορικές απαιτήσεις.</w:t>
      </w:r>
      <w:bookmarkEnd w:id="32"/>
      <w:bookmarkEnd w:id="33"/>
      <w:r w:rsidR="00480197" w:rsidRPr="00485A4C">
        <w:rPr>
          <w:rFonts w:ascii="Tahoma" w:hAnsi="Tahoma" w:cs="Tahoma"/>
          <w:i w:val="0"/>
          <w:sz w:val="22"/>
          <w:szCs w:val="22"/>
        </w:rPr>
        <w:t xml:space="preserve"> </w:t>
      </w:r>
    </w:p>
    <w:p w:rsidR="00480197" w:rsidRPr="00485A4C" w:rsidRDefault="00480197" w:rsidP="00480197">
      <w:pPr>
        <w:ind w:left="-540"/>
        <w:jc w:val="both"/>
        <w:rPr>
          <w:rFonts w:ascii="Tahoma" w:hAnsi="Tahoma" w:cs="Tahoma"/>
          <w:sz w:val="22"/>
          <w:szCs w:val="22"/>
        </w:rPr>
      </w:pPr>
    </w:p>
    <w:p w:rsidR="00480197" w:rsidRDefault="00480197" w:rsidP="00480197">
      <w:pPr>
        <w:ind w:left="-540"/>
        <w:jc w:val="both"/>
        <w:rPr>
          <w:rFonts w:ascii="Tahoma" w:hAnsi="Tahoma" w:cs="Tahoma"/>
          <w:sz w:val="22"/>
          <w:szCs w:val="22"/>
        </w:rPr>
      </w:pPr>
      <w:r w:rsidRPr="00485A4C">
        <w:rPr>
          <w:rFonts w:ascii="Tahoma" w:hAnsi="Tahoma" w:cs="Tahoma"/>
          <w:sz w:val="22"/>
          <w:szCs w:val="22"/>
        </w:rPr>
        <w:t xml:space="preserve">Τα υπόλοιπα των </w:t>
      </w:r>
      <w:r w:rsidRPr="00485A4C">
        <w:rPr>
          <w:rFonts w:ascii="Tahoma" w:hAnsi="Tahoma" w:cs="Tahoma"/>
          <w:iCs/>
          <w:sz w:val="22"/>
          <w:szCs w:val="22"/>
        </w:rPr>
        <w:t>Πελατών και λοιπών εμπορικών απαιτήσεων</w:t>
      </w:r>
      <w:r w:rsidRPr="00485A4C">
        <w:rPr>
          <w:rFonts w:ascii="Tahoma" w:hAnsi="Tahoma" w:cs="Tahoma"/>
          <w:sz w:val="22"/>
          <w:szCs w:val="22"/>
        </w:rPr>
        <w:t xml:space="preserve"> αναλύονται ως εξής.</w:t>
      </w:r>
    </w:p>
    <w:p w:rsidR="000F032F" w:rsidRDefault="000F032F" w:rsidP="00480197">
      <w:pPr>
        <w:ind w:left="-540"/>
        <w:jc w:val="both"/>
        <w:rPr>
          <w:rFonts w:ascii="Tahoma" w:hAnsi="Tahoma" w:cs="Tahoma"/>
          <w:sz w:val="22"/>
          <w:szCs w:val="22"/>
        </w:rPr>
      </w:pPr>
    </w:p>
    <w:p w:rsidR="000F032F" w:rsidRPr="00485A4C" w:rsidRDefault="000F032F" w:rsidP="00480197">
      <w:pPr>
        <w:ind w:left="-540"/>
        <w:jc w:val="both"/>
        <w:rPr>
          <w:rFonts w:ascii="Tahoma" w:hAnsi="Tahoma" w:cs="Tahoma"/>
          <w:sz w:val="22"/>
          <w:szCs w:val="22"/>
        </w:rPr>
      </w:pPr>
    </w:p>
    <w:tbl>
      <w:tblPr>
        <w:tblpPr w:leftFromText="180" w:rightFromText="180" w:vertAnchor="text" w:horzAnchor="page" w:tblpX="1753" w:tblpY="98"/>
        <w:tblW w:w="9300" w:type="dxa"/>
        <w:tblLook w:val="04A0" w:firstRow="1" w:lastRow="0" w:firstColumn="1" w:lastColumn="0" w:noHBand="0" w:noVBand="1"/>
      </w:tblPr>
      <w:tblGrid>
        <w:gridCol w:w="3176"/>
        <w:gridCol w:w="2873"/>
        <w:gridCol w:w="3251"/>
      </w:tblGrid>
      <w:tr w:rsidR="000F032F" w:rsidTr="000F032F">
        <w:trPr>
          <w:trHeight w:val="276"/>
        </w:trPr>
        <w:tc>
          <w:tcPr>
            <w:tcW w:w="3176" w:type="dxa"/>
            <w:tcBorders>
              <w:top w:val="nil"/>
              <w:left w:val="nil"/>
              <w:bottom w:val="nil"/>
              <w:right w:val="nil"/>
            </w:tcBorders>
            <w:shd w:val="clear" w:color="000000" w:fill="E6E6E6"/>
            <w:noWrap/>
            <w:vAlign w:val="bottom"/>
            <w:hideMark/>
          </w:tcPr>
          <w:p w:rsidR="000F032F" w:rsidRDefault="000F032F" w:rsidP="000F032F">
            <w:pPr>
              <w:rPr>
                <w:rFonts w:ascii="Tahoma" w:hAnsi="Tahoma" w:cs="Tahoma"/>
                <w:sz w:val="18"/>
                <w:szCs w:val="18"/>
              </w:rPr>
            </w:pPr>
            <w:r>
              <w:rPr>
                <w:rFonts w:ascii="Tahoma" w:hAnsi="Tahoma" w:cs="Tahoma"/>
                <w:sz w:val="18"/>
                <w:szCs w:val="18"/>
              </w:rPr>
              <w:t> </w:t>
            </w:r>
          </w:p>
        </w:tc>
        <w:tc>
          <w:tcPr>
            <w:tcW w:w="6124" w:type="dxa"/>
            <w:gridSpan w:val="2"/>
            <w:tcBorders>
              <w:top w:val="nil"/>
              <w:left w:val="nil"/>
              <w:bottom w:val="nil"/>
              <w:right w:val="nil"/>
            </w:tcBorders>
            <w:shd w:val="clear" w:color="000000" w:fill="E6E6E6"/>
            <w:hideMark/>
          </w:tcPr>
          <w:p w:rsidR="000F032F" w:rsidRDefault="000F032F" w:rsidP="000F032F">
            <w:pPr>
              <w:jc w:val="center"/>
              <w:rPr>
                <w:rFonts w:ascii="Tahoma" w:hAnsi="Tahoma" w:cs="Tahoma"/>
                <w:b/>
                <w:bCs/>
                <w:sz w:val="18"/>
                <w:szCs w:val="18"/>
              </w:rPr>
            </w:pPr>
            <w:r>
              <w:rPr>
                <w:rFonts w:ascii="Tahoma" w:hAnsi="Tahoma" w:cs="Tahoma"/>
                <w:b/>
                <w:bCs/>
                <w:sz w:val="18"/>
                <w:szCs w:val="18"/>
              </w:rPr>
              <w:t>Εταιρεία</w:t>
            </w:r>
          </w:p>
        </w:tc>
      </w:tr>
      <w:tr w:rsidR="000F032F" w:rsidTr="000F032F">
        <w:trPr>
          <w:trHeight w:val="276"/>
        </w:trPr>
        <w:tc>
          <w:tcPr>
            <w:tcW w:w="3176" w:type="dxa"/>
            <w:tcBorders>
              <w:top w:val="nil"/>
              <w:left w:val="nil"/>
              <w:bottom w:val="nil"/>
              <w:right w:val="nil"/>
            </w:tcBorders>
            <w:shd w:val="clear" w:color="000000" w:fill="E6E6E6"/>
            <w:noWrap/>
            <w:vAlign w:val="bottom"/>
            <w:hideMark/>
          </w:tcPr>
          <w:p w:rsidR="000F032F" w:rsidRDefault="000F032F" w:rsidP="000F032F">
            <w:pPr>
              <w:rPr>
                <w:rFonts w:ascii="Tahoma" w:hAnsi="Tahoma" w:cs="Tahoma"/>
                <w:b/>
                <w:bCs/>
                <w:sz w:val="18"/>
                <w:szCs w:val="18"/>
              </w:rPr>
            </w:pPr>
            <w:r>
              <w:rPr>
                <w:rFonts w:ascii="Tahoma" w:hAnsi="Tahoma" w:cs="Tahoma"/>
                <w:b/>
                <w:bCs/>
                <w:sz w:val="18"/>
                <w:szCs w:val="18"/>
              </w:rPr>
              <w:t>Απαιτήσεις από πελάτες</w:t>
            </w:r>
          </w:p>
        </w:tc>
        <w:tc>
          <w:tcPr>
            <w:tcW w:w="2873" w:type="dxa"/>
            <w:tcBorders>
              <w:top w:val="nil"/>
              <w:left w:val="nil"/>
              <w:bottom w:val="nil"/>
              <w:right w:val="nil"/>
            </w:tcBorders>
            <w:shd w:val="clear" w:color="000000" w:fill="E6E6E6"/>
            <w:noWrap/>
            <w:vAlign w:val="bottom"/>
            <w:hideMark/>
          </w:tcPr>
          <w:p w:rsidR="000F032F" w:rsidRDefault="000F032F" w:rsidP="000F032F">
            <w:pPr>
              <w:jc w:val="center"/>
              <w:rPr>
                <w:rFonts w:ascii="Tahoma" w:hAnsi="Tahoma" w:cs="Tahoma"/>
                <w:b/>
                <w:bCs/>
                <w:sz w:val="18"/>
                <w:szCs w:val="18"/>
              </w:rPr>
            </w:pPr>
            <w:r>
              <w:rPr>
                <w:rFonts w:ascii="Tahoma" w:hAnsi="Tahoma" w:cs="Tahoma"/>
                <w:b/>
                <w:bCs/>
                <w:sz w:val="18"/>
                <w:szCs w:val="18"/>
              </w:rPr>
              <w:t>31.12.2018</w:t>
            </w:r>
          </w:p>
        </w:tc>
        <w:tc>
          <w:tcPr>
            <w:tcW w:w="3251" w:type="dxa"/>
            <w:tcBorders>
              <w:top w:val="nil"/>
              <w:left w:val="nil"/>
              <w:bottom w:val="nil"/>
              <w:right w:val="nil"/>
            </w:tcBorders>
            <w:shd w:val="clear" w:color="000000" w:fill="E6E6E6"/>
            <w:noWrap/>
            <w:vAlign w:val="bottom"/>
            <w:hideMark/>
          </w:tcPr>
          <w:p w:rsidR="000F032F" w:rsidRDefault="000F032F" w:rsidP="000F032F">
            <w:pPr>
              <w:jc w:val="center"/>
              <w:rPr>
                <w:rFonts w:ascii="Tahoma" w:hAnsi="Tahoma" w:cs="Tahoma"/>
                <w:b/>
                <w:bCs/>
                <w:sz w:val="18"/>
                <w:szCs w:val="18"/>
              </w:rPr>
            </w:pPr>
            <w:r>
              <w:rPr>
                <w:rFonts w:ascii="Tahoma" w:hAnsi="Tahoma" w:cs="Tahoma"/>
                <w:b/>
                <w:bCs/>
                <w:sz w:val="18"/>
                <w:szCs w:val="18"/>
              </w:rPr>
              <w:t>31.12.2017</w:t>
            </w:r>
          </w:p>
        </w:tc>
      </w:tr>
      <w:tr w:rsidR="000F032F" w:rsidTr="000F032F">
        <w:trPr>
          <w:trHeight w:val="360"/>
        </w:trPr>
        <w:tc>
          <w:tcPr>
            <w:tcW w:w="3176" w:type="dxa"/>
            <w:tcBorders>
              <w:top w:val="nil"/>
              <w:left w:val="nil"/>
              <w:bottom w:val="nil"/>
              <w:right w:val="nil"/>
            </w:tcBorders>
            <w:shd w:val="clear" w:color="auto" w:fill="auto"/>
            <w:noWrap/>
            <w:vAlign w:val="center"/>
            <w:hideMark/>
          </w:tcPr>
          <w:p w:rsidR="000F032F" w:rsidRDefault="000F032F" w:rsidP="000F032F">
            <w:pPr>
              <w:rPr>
                <w:rFonts w:ascii="Tahoma" w:hAnsi="Tahoma" w:cs="Tahoma"/>
                <w:sz w:val="18"/>
                <w:szCs w:val="18"/>
              </w:rPr>
            </w:pPr>
            <w:r>
              <w:rPr>
                <w:rFonts w:ascii="Tahoma" w:hAnsi="Tahoma" w:cs="Tahoma"/>
                <w:sz w:val="18"/>
                <w:szCs w:val="18"/>
              </w:rPr>
              <w:t>Πελάτες χονδρικής</w:t>
            </w:r>
          </w:p>
        </w:tc>
        <w:tc>
          <w:tcPr>
            <w:tcW w:w="2873" w:type="dxa"/>
            <w:tcBorders>
              <w:top w:val="nil"/>
              <w:left w:val="nil"/>
              <w:bottom w:val="nil"/>
              <w:right w:val="nil"/>
            </w:tcBorders>
            <w:shd w:val="clear" w:color="auto" w:fill="auto"/>
            <w:noWrap/>
            <w:vAlign w:val="center"/>
            <w:hideMark/>
          </w:tcPr>
          <w:p w:rsidR="000F032F" w:rsidRDefault="000F032F" w:rsidP="000F032F">
            <w:pPr>
              <w:jc w:val="right"/>
              <w:rPr>
                <w:rFonts w:ascii="Tahoma" w:hAnsi="Tahoma" w:cs="Tahoma"/>
                <w:sz w:val="18"/>
                <w:szCs w:val="18"/>
              </w:rPr>
            </w:pPr>
            <w:r>
              <w:rPr>
                <w:rFonts w:ascii="Tahoma" w:hAnsi="Tahoma" w:cs="Tahoma"/>
                <w:sz w:val="18"/>
                <w:szCs w:val="18"/>
              </w:rPr>
              <w:t>277.528,67</w:t>
            </w:r>
          </w:p>
        </w:tc>
        <w:tc>
          <w:tcPr>
            <w:tcW w:w="3251" w:type="dxa"/>
            <w:tcBorders>
              <w:top w:val="nil"/>
              <w:left w:val="nil"/>
              <w:bottom w:val="nil"/>
              <w:right w:val="nil"/>
            </w:tcBorders>
            <w:shd w:val="clear" w:color="auto" w:fill="auto"/>
            <w:noWrap/>
            <w:vAlign w:val="center"/>
            <w:hideMark/>
          </w:tcPr>
          <w:p w:rsidR="000F032F" w:rsidRDefault="000F032F" w:rsidP="000F032F">
            <w:pPr>
              <w:jc w:val="right"/>
              <w:rPr>
                <w:rFonts w:ascii="Tahoma" w:hAnsi="Tahoma" w:cs="Tahoma"/>
                <w:sz w:val="18"/>
                <w:szCs w:val="18"/>
              </w:rPr>
            </w:pPr>
            <w:r>
              <w:rPr>
                <w:rFonts w:ascii="Tahoma" w:hAnsi="Tahoma" w:cs="Tahoma"/>
                <w:sz w:val="18"/>
                <w:szCs w:val="18"/>
              </w:rPr>
              <w:t>267.384,53</w:t>
            </w:r>
          </w:p>
        </w:tc>
      </w:tr>
      <w:tr w:rsidR="000F032F" w:rsidTr="000F032F">
        <w:trPr>
          <w:trHeight w:val="360"/>
        </w:trPr>
        <w:tc>
          <w:tcPr>
            <w:tcW w:w="3176" w:type="dxa"/>
            <w:tcBorders>
              <w:top w:val="nil"/>
              <w:left w:val="nil"/>
              <w:bottom w:val="nil"/>
              <w:right w:val="nil"/>
            </w:tcBorders>
            <w:shd w:val="clear" w:color="auto" w:fill="auto"/>
            <w:noWrap/>
            <w:vAlign w:val="center"/>
            <w:hideMark/>
          </w:tcPr>
          <w:p w:rsidR="000F032F" w:rsidRDefault="000F032F" w:rsidP="000F032F">
            <w:pPr>
              <w:rPr>
                <w:rFonts w:ascii="Tahoma" w:hAnsi="Tahoma" w:cs="Tahoma"/>
                <w:sz w:val="18"/>
                <w:szCs w:val="18"/>
              </w:rPr>
            </w:pPr>
            <w:r>
              <w:rPr>
                <w:rFonts w:ascii="Tahoma" w:hAnsi="Tahoma" w:cs="Tahoma"/>
                <w:sz w:val="18"/>
                <w:szCs w:val="18"/>
              </w:rPr>
              <w:t>Γραμμάτια και επιταγές εισπρακτέες</w:t>
            </w:r>
          </w:p>
        </w:tc>
        <w:tc>
          <w:tcPr>
            <w:tcW w:w="2873" w:type="dxa"/>
            <w:tcBorders>
              <w:top w:val="nil"/>
              <w:left w:val="nil"/>
              <w:bottom w:val="nil"/>
              <w:right w:val="nil"/>
            </w:tcBorders>
            <w:shd w:val="clear" w:color="auto" w:fill="auto"/>
            <w:noWrap/>
            <w:vAlign w:val="center"/>
            <w:hideMark/>
          </w:tcPr>
          <w:p w:rsidR="000F032F" w:rsidRDefault="000F032F" w:rsidP="000F032F">
            <w:pPr>
              <w:jc w:val="right"/>
              <w:rPr>
                <w:rFonts w:ascii="Tahoma" w:hAnsi="Tahoma" w:cs="Tahoma"/>
                <w:sz w:val="18"/>
                <w:szCs w:val="18"/>
              </w:rPr>
            </w:pPr>
            <w:r>
              <w:rPr>
                <w:rFonts w:ascii="Tahoma" w:hAnsi="Tahoma" w:cs="Tahoma"/>
                <w:sz w:val="18"/>
                <w:szCs w:val="18"/>
              </w:rPr>
              <w:t>482.253,89</w:t>
            </w:r>
          </w:p>
        </w:tc>
        <w:tc>
          <w:tcPr>
            <w:tcW w:w="3251" w:type="dxa"/>
            <w:tcBorders>
              <w:top w:val="nil"/>
              <w:left w:val="nil"/>
              <w:bottom w:val="nil"/>
              <w:right w:val="nil"/>
            </w:tcBorders>
            <w:shd w:val="clear" w:color="auto" w:fill="auto"/>
            <w:noWrap/>
            <w:vAlign w:val="center"/>
            <w:hideMark/>
          </w:tcPr>
          <w:p w:rsidR="000F032F" w:rsidRDefault="000F032F" w:rsidP="000F032F">
            <w:pPr>
              <w:jc w:val="right"/>
              <w:rPr>
                <w:rFonts w:ascii="Tahoma" w:hAnsi="Tahoma" w:cs="Tahoma"/>
                <w:sz w:val="18"/>
                <w:szCs w:val="18"/>
              </w:rPr>
            </w:pPr>
            <w:r>
              <w:rPr>
                <w:rFonts w:ascii="Tahoma" w:hAnsi="Tahoma" w:cs="Tahoma"/>
                <w:sz w:val="18"/>
                <w:szCs w:val="18"/>
              </w:rPr>
              <w:t>798.433,36</w:t>
            </w:r>
          </w:p>
        </w:tc>
      </w:tr>
      <w:tr w:rsidR="000F032F" w:rsidTr="000F032F">
        <w:trPr>
          <w:trHeight w:val="360"/>
        </w:trPr>
        <w:tc>
          <w:tcPr>
            <w:tcW w:w="3176" w:type="dxa"/>
            <w:tcBorders>
              <w:top w:val="nil"/>
              <w:left w:val="nil"/>
              <w:bottom w:val="nil"/>
              <w:right w:val="nil"/>
            </w:tcBorders>
            <w:shd w:val="clear" w:color="auto" w:fill="auto"/>
            <w:noWrap/>
            <w:vAlign w:val="center"/>
            <w:hideMark/>
          </w:tcPr>
          <w:p w:rsidR="000F032F" w:rsidRDefault="000F032F" w:rsidP="000F032F">
            <w:pPr>
              <w:rPr>
                <w:rFonts w:ascii="Tahoma" w:hAnsi="Tahoma" w:cs="Tahoma"/>
                <w:sz w:val="18"/>
                <w:szCs w:val="18"/>
              </w:rPr>
            </w:pPr>
            <w:r>
              <w:rPr>
                <w:rFonts w:ascii="Tahoma" w:hAnsi="Tahoma" w:cs="Tahoma"/>
                <w:sz w:val="18"/>
                <w:szCs w:val="18"/>
              </w:rPr>
              <w:t>Προκαταβολές αγοράς αποθεμάτων</w:t>
            </w:r>
          </w:p>
        </w:tc>
        <w:tc>
          <w:tcPr>
            <w:tcW w:w="2873" w:type="dxa"/>
            <w:tcBorders>
              <w:top w:val="nil"/>
              <w:left w:val="nil"/>
              <w:bottom w:val="single" w:sz="4" w:space="0" w:color="auto"/>
              <w:right w:val="nil"/>
            </w:tcBorders>
            <w:shd w:val="clear" w:color="auto" w:fill="auto"/>
            <w:noWrap/>
            <w:vAlign w:val="center"/>
            <w:hideMark/>
          </w:tcPr>
          <w:p w:rsidR="000F032F" w:rsidRDefault="000F032F" w:rsidP="000F032F">
            <w:pPr>
              <w:jc w:val="right"/>
              <w:rPr>
                <w:rFonts w:ascii="Tahoma" w:hAnsi="Tahoma" w:cs="Tahoma"/>
                <w:sz w:val="18"/>
                <w:szCs w:val="18"/>
              </w:rPr>
            </w:pPr>
            <w:r>
              <w:rPr>
                <w:rFonts w:ascii="Tahoma" w:hAnsi="Tahoma" w:cs="Tahoma"/>
                <w:sz w:val="18"/>
                <w:szCs w:val="18"/>
              </w:rPr>
              <w:t>122.939,11</w:t>
            </w:r>
          </w:p>
        </w:tc>
        <w:tc>
          <w:tcPr>
            <w:tcW w:w="3251" w:type="dxa"/>
            <w:tcBorders>
              <w:top w:val="nil"/>
              <w:left w:val="nil"/>
              <w:bottom w:val="single" w:sz="4" w:space="0" w:color="auto"/>
              <w:right w:val="nil"/>
            </w:tcBorders>
            <w:shd w:val="clear" w:color="auto" w:fill="auto"/>
            <w:noWrap/>
            <w:vAlign w:val="center"/>
            <w:hideMark/>
          </w:tcPr>
          <w:p w:rsidR="000F032F" w:rsidRDefault="000F032F" w:rsidP="000F032F">
            <w:pPr>
              <w:jc w:val="right"/>
              <w:rPr>
                <w:rFonts w:ascii="Tahoma" w:hAnsi="Tahoma" w:cs="Tahoma"/>
                <w:sz w:val="18"/>
                <w:szCs w:val="18"/>
              </w:rPr>
            </w:pPr>
            <w:r>
              <w:rPr>
                <w:rFonts w:ascii="Tahoma" w:hAnsi="Tahoma" w:cs="Tahoma"/>
                <w:sz w:val="18"/>
                <w:szCs w:val="18"/>
              </w:rPr>
              <w:t>97.252,79</w:t>
            </w:r>
          </w:p>
        </w:tc>
      </w:tr>
      <w:tr w:rsidR="000F032F" w:rsidTr="000F032F">
        <w:trPr>
          <w:trHeight w:val="360"/>
        </w:trPr>
        <w:tc>
          <w:tcPr>
            <w:tcW w:w="3176" w:type="dxa"/>
            <w:tcBorders>
              <w:top w:val="nil"/>
              <w:left w:val="nil"/>
              <w:bottom w:val="nil"/>
              <w:right w:val="nil"/>
            </w:tcBorders>
            <w:shd w:val="clear" w:color="auto" w:fill="auto"/>
            <w:noWrap/>
            <w:vAlign w:val="center"/>
            <w:hideMark/>
          </w:tcPr>
          <w:p w:rsidR="000F032F" w:rsidRDefault="000F032F" w:rsidP="000F032F">
            <w:pPr>
              <w:rPr>
                <w:rFonts w:ascii="Tahoma" w:hAnsi="Tahoma" w:cs="Tahoma"/>
                <w:b/>
                <w:bCs/>
                <w:sz w:val="18"/>
                <w:szCs w:val="18"/>
              </w:rPr>
            </w:pPr>
            <w:r>
              <w:rPr>
                <w:rFonts w:ascii="Tahoma" w:hAnsi="Tahoma" w:cs="Tahoma"/>
                <w:b/>
                <w:bCs/>
                <w:sz w:val="18"/>
                <w:szCs w:val="18"/>
              </w:rPr>
              <w:t>Σύνολο</w:t>
            </w:r>
          </w:p>
        </w:tc>
        <w:tc>
          <w:tcPr>
            <w:tcW w:w="2873" w:type="dxa"/>
            <w:tcBorders>
              <w:top w:val="nil"/>
              <w:left w:val="nil"/>
              <w:bottom w:val="nil"/>
              <w:right w:val="nil"/>
            </w:tcBorders>
            <w:shd w:val="clear" w:color="auto" w:fill="auto"/>
            <w:noWrap/>
            <w:vAlign w:val="center"/>
            <w:hideMark/>
          </w:tcPr>
          <w:p w:rsidR="000F032F" w:rsidRDefault="000F032F" w:rsidP="000F032F">
            <w:pPr>
              <w:jc w:val="right"/>
              <w:rPr>
                <w:rFonts w:ascii="Tahoma" w:hAnsi="Tahoma" w:cs="Tahoma"/>
                <w:b/>
                <w:bCs/>
                <w:sz w:val="18"/>
                <w:szCs w:val="18"/>
              </w:rPr>
            </w:pPr>
            <w:r>
              <w:rPr>
                <w:rFonts w:ascii="Tahoma" w:hAnsi="Tahoma" w:cs="Tahoma"/>
                <w:b/>
                <w:bCs/>
                <w:sz w:val="18"/>
                <w:szCs w:val="18"/>
              </w:rPr>
              <w:t>882.721,67</w:t>
            </w:r>
          </w:p>
        </w:tc>
        <w:tc>
          <w:tcPr>
            <w:tcW w:w="3251" w:type="dxa"/>
            <w:tcBorders>
              <w:top w:val="nil"/>
              <w:left w:val="nil"/>
              <w:bottom w:val="nil"/>
              <w:right w:val="nil"/>
            </w:tcBorders>
            <w:shd w:val="clear" w:color="auto" w:fill="auto"/>
            <w:noWrap/>
            <w:vAlign w:val="center"/>
            <w:hideMark/>
          </w:tcPr>
          <w:p w:rsidR="000F032F" w:rsidRDefault="000F032F" w:rsidP="000F032F">
            <w:pPr>
              <w:jc w:val="right"/>
              <w:rPr>
                <w:rFonts w:ascii="Tahoma" w:hAnsi="Tahoma" w:cs="Tahoma"/>
                <w:b/>
                <w:bCs/>
                <w:sz w:val="18"/>
                <w:szCs w:val="18"/>
              </w:rPr>
            </w:pPr>
            <w:r>
              <w:rPr>
                <w:rFonts w:ascii="Tahoma" w:hAnsi="Tahoma" w:cs="Tahoma"/>
                <w:b/>
                <w:bCs/>
                <w:sz w:val="18"/>
                <w:szCs w:val="18"/>
              </w:rPr>
              <w:t>1.163.070,68</w:t>
            </w:r>
          </w:p>
        </w:tc>
      </w:tr>
      <w:tr w:rsidR="000F032F" w:rsidTr="000F032F">
        <w:trPr>
          <w:trHeight w:val="360"/>
        </w:trPr>
        <w:tc>
          <w:tcPr>
            <w:tcW w:w="3176" w:type="dxa"/>
            <w:tcBorders>
              <w:top w:val="nil"/>
              <w:left w:val="nil"/>
              <w:bottom w:val="nil"/>
              <w:right w:val="nil"/>
            </w:tcBorders>
            <w:shd w:val="clear" w:color="auto" w:fill="auto"/>
            <w:noWrap/>
            <w:vAlign w:val="center"/>
            <w:hideMark/>
          </w:tcPr>
          <w:p w:rsidR="000F032F" w:rsidRDefault="000F032F" w:rsidP="000F032F">
            <w:pPr>
              <w:rPr>
                <w:rFonts w:ascii="Tahoma" w:hAnsi="Tahoma" w:cs="Tahoma"/>
                <w:sz w:val="18"/>
                <w:szCs w:val="18"/>
              </w:rPr>
            </w:pPr>
            <w:r>
              <w:rPr>
                <w:rFonts w:ascii="Tahoma" w:hAnsi="Tahoma" w:cs="Tahoma"/>
                <w:sz w:val="18"/>
                <w:szCs w:val="18"/>
              </w:rPr>
              <w:t>Μείον:</w:t>
            </w:r>
          </w:p>
        </w:tc>
        <w:tc>
          <w:tcPr>
            <w:tcW w:w="2873" w:type="dxa"/>
            <w:tcBorders>
              <w:top w:val="nil"/>
              <w:left w:val="nil"/>
              <w:bottom w:val="nil"/>
              <w:right w:val="nil"/>
            </w:tcBorders>
            <w:shd w:val="clear" w:color="auto" w:fill="auto"/>
            <w:noWrap/>
            <w:vAlign w:val="center"/>
            <w:hideMark/>
          </w:tcPr>
          <w:p w:rsidR="000F032F" w:rsidRDefault="000F032F" w:rsidP="000F032F">
            <w:pPr>
              <w:rPr>
                <w:rFonts w:ascii="Tahoma" w:hAnsi="Tahoma" w:cs="Tahoma"/>
                <w:sz w:val="18"/>
                <w:szCs w:val="18"/>
              </w:rPr>
            </w:pPr>
          </w:p>
        </w:tc>
        <w:tc>
          <w:tcPr>
            <w:tcW w:w="3251" w:type="dxa"/>
            <w:tcBorders>
              <w:top w:val="nil"/>
              <w:left w:val="nil"/>
              <w:bottom w:val="nil"/>
              <w:right w:val="nil"/>
            </w:tcBorders>
            <w:shd w:val="clear" w:color="auto" w:fill="auto"/>
            <w:noWrap/>
            <w:vAlign w:val="center"/>
            <w:hideMark/>
          </w:tcPr>
          <w:p w:rsidR="000F032F" w:rsidRDefault="000F032F" w:rsidP="000F032F">
            <w:pPr>
              <w:rPr>
                <w:sz w:val="20"/>
                <w:szCs w:val="20"/>
              </w:rPr>
            </w:pPr>
          </w:p>
        </w:tc>
      </w:tr>
      <w:tr w:rsidR="000F032F" w:rsidTr="000F032F">
        <w:trPr>
          <w:trHeight w:val="360"/>
        </w:trPr>
        <w:tc>
          <w:tcPr>
            <w:tcW w:w="3176" w:type="dxa"/>
            <w:tcBorders>
              <w:top w:val="nil"/>
              <w:left w:val="nil"/>
              <w:bottom w:val="nil"/>
              <w:right w:val="nil"/>
            </w:tcBorders>
            <w:shd w:val="clear" w:color="auto" w:fill="auto"/>
            <w:noWrap/>
            <w:vAlign w:val="center"/>
            <w:hideMark/>
          </w:tcPr>
          <w:p w:rsidR="000F032F" w:rsidRDefault="000F032F" w:rsidP="000F032F">
            <w:pPr>
              <w:rPr>
                <w:rFonts w:ascii="Tahoma" w:hAnsi="Tahoma" w:cs="Tahoma"/>
                <w:sz w:val="18"/>
                <w:szCs w:val="18"/>
              </w:rPr>
            </w:pPr>
            <w:r>
              <w:rPr>
                <w:rFonts w:ascii="Tahoma" w:hAnsi="Tahoma" w:cs="Tahoma"/>
                <w:sz w:val="18"/>
                <w:szCs w:val="18"/>
              </w:rPr>
              <w:t xml:space="preserve">Απομειώσεις απαιτήσεων </w:t>
            </w:r>
          </w:p>
        </w:tc>
        <w:tc>
          <w:tcPr>
            <w:tcW w:w="2873" w:type="dxa"/>
            <w:tcBorders>
              <w:top w:val="nil"/>
              <w:left w:val="nil"/>
              <w:bottom w:val="nil"/>
              <w:right w:val="nil"/>
            </w:tcBorders>
            <w:shd w:val="clear" w:color="auto" w:fill="auto"/>
            <w:noWrap/>
            <w:vAlign w:val="center"/>
            <w:hideMark/>
          </w:tcPr>
          <w:p w:rsidR="000F032F" w:rsidRDefault="000F032F" w:rsidP="000F032F">
            <w:pPr>
              <w:rPr>
                <w:rFonts w:ascii="Tahoma" w:hAnsi="Tahoma" w:cs="Tahoma"/>
                <w:sz w:val="18"/>
                <w:szCs w:val="18"/>
              </w:rPr>
            </w:pPr>
            <w:r>
              <w:rPr>
                <w:rFonts w:ascii="Tahoma" w:hAnsi="Tahoma" w:cs="Tahoma"/>
                <w:sz w:val="18"/>
                <w:szCs w:val="18"/>
              </w:rPr>
              <w:t xml:space="preserve">                               (33.000,00)</w:t>
            </w:r>
          </w:p>
        </w:tc>
        <w:tc>
          <w:tcPr>
            <w:tcW w:w="3251" w:type="dxa"/>
            <w:tcBorders>
              <w:top w:val="nil"/>
              <w:left w:val="nil"/>
              <w:bottom w:val="nil"/>
              <w:right w:val="nil"/>
            </w:tcBorders>
            <w:shd w:val="clear" w:color="auto" w:fill="auto"/>
            <w:noWrap/>
            <w:vAlign w:val="center"/>
            <w:hideMark/>
          </w:tcPr>
          <w:p w:rsidR="000F032F" w:rsidRDefault="000F032F" w:rsidP="000F032F">
            <w:pPr>
              <w:rPr>
                <w:rFonts w:ascii="Tahoma" w:hAnsi="Tahoma" w:cs="Tahoma"/>
                <w:sz w:val="18"/>
                <w:szCs w:val="18"/>
              </w:rPr>
            </w:pPr>
            <w:r>
              <w:rPr>
                <w:rFonts w:ascii="Tahoma" w:hAnsi="Tahoma" w:cs="Tahoma"/>
                <w:sz w:val="18"/>
                <w:szCs w:val="18"/>
              </w:rPr>
              <w:t xml:space="preserve">                                     (33.000,00)</w:t>
            </w:r>
          </w:p>
        </w:tc>
      </w:tr>
      <w:tr w:rsidR="000F032F" w:rsidTr="000F032F">
        <w:trPr>
          <w:trHeight w:val="360"/>
        </w:trPr>
        <w:tc>
          <w:tcPr>
            <w:tcW w:w="3176" w:type="dxa"/>
            <w:tcBorders>
              <w:top w:val="nil"/>
              <w:left w:val="nil"/>
              <w:bottom w:val="nil"/>
              <w:right w:val="nil"/>
            </w:tcBorders>
            <w:shd w:val="clear" w:color="auto" w:fill="auto"/>
            <w:vAlign w:val="center"/>
            <w:hideMark/>
          </w:tcPr>
          <w:p w:rsidR="000F032F" w:rsidRDefault="000F032F" w:rsidP="000F032F">
            <w:pPr>
              <w:rPr>
                <w:rFonts w:ascii="Tahoma" w:hAnsi="Tahoma" w:cs="Tahoma"/>
                <w:b/>
                <w:bCs/>
                <w:sz w:val="18"/>
                <w:szCs w:val="18"/>
              </w:rPr>
            </w:pPr>
            <w:r>
              <w:rPr>
                <w:rFonts w:ascii="Tahoma" w:hAnsi="Tahoma" w:cs="Tahoma"/>
                <w:b/>
                <w:bCs/>
                <w:sz w:val="18"/>
                <w:szCs w:val="18"/>
              </w:rPr>
              <w:t>Σύνολα</w:t>
            </w:r>
          </w:p>
        </w:tc>
        <w:tc>
          <w:tcPr>
            <w:tcW w:w="2873" w:type="dxa"/>
            <w:tcBorders>
              <w:top w:val="single" w:sz="4" w:space="0" w:color="auto"/>
              <w:left w:val="nil"/>
              <w:bottom w:val="double" w:sz="6" w:space="0" w:color="auto"/>
              <w:right w:val="nil"/>
            </w:tcBorders>
            <w:shd w:val="clear" w:color="auto" w:fill="auto"/>
            <w:vAlign w:val="center"/>
            <w:hideMark/>
          </w:tcPr>
          <w:p w:rsidR="000F032F" w:rsidRDefault="000F032F" w:rsidP="000F032F">
            <w:pPr>
              <w:jc w:val="right"/>
              <w:rPr>
                <w:rFonts w:ascii="Tahoma" w:hAnsi="Tahoma" w:cs="Tahoma"/>
                <w:b/>
                <w:bCs/>
                <w:sz w:val="18"/>
                <w:szCs w:val="18"/>
              </w:rPr>
            </w:pPr>
            <w:r>
              <w:rPr>
                <w:rFonts w:ascii="Tahoma" w:hAnsi="Tahoma" w:cs="Tahoma"/>
                <w:b/>
                <w:bCs/>
                <w:sz w:val="18"/>
                <w:szCs w:val="18"/>
              </w:rPr>
              <w:t>849.721,67</w:t>
            </w:r>
          </w:p>
        </w:tc>
        <w:tc>
          <w:tcPr>
            <w:tcW w:w="3251" w:type="dxa"/>
            <w:tcBorders>
              <w:top w:val="single" w:sz="4" w:space="0" w:color="auto"/>
              <w:left w:val="nil"/>
              <w:bottom w:val="double" w:sz="6" w:space="0" w:color="auto"/>
              <w:right w:val="nil"/>
            </w:tcBorders>
            <w:shd w:val="clear" w:color="auto" w:fill="auto"/>
            <w:vAlign w:val="center"/>
            <w:hideMark/>
          </w:tcPr>
          <w:p w:rsidR="000F032F" w:rsidRDefault="000F032F" w:rsidP="000F032F">
            <w:pPr>
              <w:jc w:val="right"/>
              <w:rPr>
                <w:rFonts w:ascii="Tahoma" w:hAnsi="Tahoma" w:cs="Tahoma"/>
                <w:b/>
                <w:bCs/>
                <w:sz w:val="18"/>
                <w:szCs w:val="18"/>
              </w:rPr>
            </w:pPr>
            <w:r>
              <w:rPr>
                <w:rFonts w:ascii="Tahoma" w:hAnsi="Tahoma" w:cs="Tahoma"/>
                <w:b/>
                <w:bCs/>
                <w:sz w:val="18"/>
                <w:szCs w:val="18"/>
              </w:rPr>
              <w:t>1.130.070,68</w:t>
            </w:r>
          </w:p>
        </w:tc>
      </w:tr>
    </w:tbl>
    <w:p w:rsidR="009B4CE0" w:rsidRDefault="009B4CE0" w:rsidP="009B4CE0">
      <w:pPr>
        <w:ind w:left="-709"/>
        <w:jc w:val="both"/>
        <w:rPr>
          <w:rFonts w:ascii="Tahoma" w:hAnsi="Tahoma" w:cs="Tahoma"/>
          <w:sz w:val="22"/>
          <w:szCs w:val="22"/>
          <w:lang w:val="en-US"/>
        </w:rPr>
      </w:pPr>
    </w:p>
    <w:p w:rsidR="000F032F" w:rsidRDefault="000F032F" w:rsidP="000F032F">
      <w:pPr>
        <w:jc w:val="both"/>
        <w:rPr>
          <w:rFonts w:ascii="Tahoma" w:hAnsi="Tahoma" w:cs="Tahoma"/>
          <w:sz w:val="22"/>
          <w:szCs w:val="22"/>
          <w:lang w:val="en-US"/>
        </w:rPr>
      </w:pPr>
    </w:p>
    <w:p w:rsidR="000F032F" w:rsidRPr="00485A4C" w:rsidRDefault="000F032F" w:rsidP="009B4CE0">
      <w:pPr>
        <w:ind w:left="-709"/>
        <w:jc w:val="both"/>
        <w:rPr>
          <w:rFonts w:ascii="Tahoma" w:hAnsi="Tahoma" w:cs="Tahoma"/>
          <w:sz w:val="22"/>
          <w:szCs w:val="22"/>
          <w:highlight w:val="red"/>
          <w:lang w:val="en-US"/>
        </w:rPr>
      </w:pPr>
    </w:p>
    <w:p w:rsidR="006C6A2A" w:rsidRPr="00485A4C" w:rsidRDefault="00480197" w:rsidP="00480197">
      <w:pPr>
        <w:autoSpaceDE w:val="0"/>
        <w:autoSpaceDN w:val="0"/>
        <w:adjustRightInd w:val="0"/>
        <w:spacing w:line="360" w:lineRule="auto"/>
        <w:ind w:left="-539"/>
        <w:jc w:val="both"/>
        <w:rPr>
          <w:rFonts w:ascii="Tahoma" w:hAnsi="Tahoma" w:cs="Tahoma"/>
          <w:sz w:val="22"/>
          <w:szCs w:val="22"/>
        </w:rPr>
      </w:pPr>
      <w:r w:rsidRPr="00485A4C">
        <w:rPr>
          <w:rFonts w:ascii="Tahoma" w:hAnsi="Tahoma" w:cs="Tahoma"/>
          <w:sz w:val="22"/>
          <w:szCs w:val="22"/>
        </w:rPr>
        <w:t xml:space="preserve">Αναφορικά με τα ανωτέρω υπόλοιπα, σημειώνεται ότι, λόγω της </w:t>
      </w:r>
      <w:r w:rsidR="0093499C" w:rsidRPr="00485A4C">
        <w:rPr>
          <w:rFonts w:ascii="Tahoma" w:hAnsi="Tahoma" w:cs="Tahoma"/>
          <w:sz w:val="22"/>
          <w:szCs w:val="22"/>
        </w:rPr>
        <w:t>σχετικά σταθερής βάσης πελατών με ισχυρή οικονομική θέση</w:t>
      </w:r>
      <w:r w:rsidRPr="00485A4C">
        <w:rPr>
          <w:rFonts w:ascii="Tahoma" w:hAnsi="Tahoma" w:cs="Tahoma"/>
          <w:sz w:val="22"/>
          <w:szCs w:val="22"/>
        </w:rPr>
        <w:t xml:space="preserve">, ο πιστωτικός κίνδυνος </w:t>
      </w:r>
      <w:r w:rsidR="00635CA6" w:rsidRPr="00485A4C">
        <w:rPr>
          <w:rFonts w:ascii="Tahoma" w:hAnsi="Tahoma" w:cs="Tahoma"/>
          <w:sz w:val="22"/>
          <w:szCs w:val="22"/>
        </w:rPr>
        <w:t>τ</w:t>
      </w:r>
      <w:r w:rsidR="006A220C" w:rsidRPr="00485A4C">
        <w:rPr>
          <w:rFonts w:ascii="Tahoma" w:hAnsi="Tahoma" w:cs="Tahoma"/>
          <w:sz w:val="22"/>
          <w:szCs w:val="22"/>
        </w:rPr>
        <w:t>ης</w:t>
      </w:r>
      <w:r w:rsidR="00635CA6" w:rsidRPr="00485A4C">
        <w:rPr>
          <w:rFonts w:ascii="Tahoma" w:hAnsi="Tahoma" w:cs="Tahoma"/>
          <w:sz w:val="22"/>
          <w:szCs w:val="22"/>
        </w:rPr>
        <w:t xml:space="preserve"> </w:t>
      </w:r>
      <w:r w:rsidR="006A220C" w:rsidRPr="00485A4C">
        <w:rPr>
          <w:rFonts w:ascii="Tahoma" w:hAnsi="Tahoma" w:cs="Tahoma"/>
          <w:sz w:val="22"/>
          <w:szCs w:val="22"/>
        </w:rPr>
        <w:t>εταιρείας</w:t>
      </w:r>
      <w:r w:rsidR="00CA6B5C" w:rsidRPr="00485A4C">
        <w:rPr>
          <w:rFonts w:ascii="Tahoma" w:hAnsi="Tahoma" w:cs="Tahoma"/>
          <w:sz w:val="22"/>
          <w:szCs w:val="22"/>
        </w:rPr>
        <w:t xml:space="preserve"> </w:t>
      </w:r>
      <w:r w:rsidR="00635CA6" w:rsidRPr="00485A4C">
        <w:rPr>
          <w:rFonts w:ascii="Tahoma" w:hAnsi="Tahoma" w:cs="Tahoma"/>
          <w:sz w:val="22"/>
          <w:szCs w:val="22"/>
        </w:rPr>
        <w:t>δεν είναι σημαντικός</w:t>
      </w:r>
      <w:r w:rsidRPr="00485A4C">
        <w:rPr>
          <w:rFonts w:ascii="Tahoma" w:hAnsi="Tahoma" w:cs="Tahoma"/>
          <w:sz w:val="22"/>
          <w:szCs w:val="22"/>
        </w:rPr>
        <w:t>.</w:t>
      </w:r>
      <w:r w:rsidR="00405356" w:rsidRPr="00485A4C">
        <w:rPr>
          <w:rFonts w:ascii="Tahoma" w:hAnsi="Tahoma" w:cs="Tahoma"/>
          <w:sz w:val="22"/>
          <w:szCs w:val="22"/>
        </w:rPr>
        <w:t xml:space="preserve"> </w:t>
      </w:r>
      <w:r w:rsidR="006C6A2A" w:rsidRPr="00485A4C">
        <w:rPr>
          <w:rFonts w:ascii="Tahoma" w:hAnsi="Tahoma" w:cs="Tahoma"/>
          <w:sz w:val="22"/>
          <w:szCs w:val="22"/>
        </w:rPr>
        <w:t xml:space="preserve">Οι προβλέψεις </w:t>
      </w:r>
      <w:r w:rsidR="00EA6A86" w:rsidRPr="00485A4C">
        <w:rPr>
          <w:rFonts w:ascii="Tahoma" w:hAnsi="Tahoma" w:cs="Tahoma"/>
          <w:sz w:val="22"/>
          <w:szCs w:val="22"/>
        </w:rPr>
        <w:t>απομείωσης για επισφαλείς πελάτες σχηματ</w:t>
      </w:r>
      <w:r w:rsidR="00A256D3" w:rsidRPr="00485A4C">
        <w:rPr>
          <w:rFonts w:ascii="Tahoma" w:hAnsi="Tahoma" w:cs="Tahoma"/>
          <w:sz w:val="22"/>
          <w:szCs w:val="22"/>
        </w:rPr>
        <w:t>ίζον</w:t>
      </w:r>
      <w:r w:rsidR="00EA6A86" w:rsidRPr="00485A4C">
        <w:rPr>
          <w:rFonts w:ascii="Tahoma" w:hAnsi="Tahoma" w:cs="Tahoma"/>
          <w:sz w:val="22"/>
          <w:szCs w:val="22"/>
        </w:rPr>
        <w:t>ται επί συγκεκριμένων υπολοίπων πελατών τα οποία η Διοίκηση τ</w:t>
      </w:r>
      <w:r w:rsidR="00226AE1" w:rsidRPr="00485A4C">
        <w:rPr>
          <w:rFonts w:ascii="Tahoma" w:hAnsi="Tahoma" w:cs="Tahoma"/>
          <w:sz w:val="22"/>
          <w:szCs w:val="22"/>
        </w:rPr>
        <w:t>ης</w:t>
      </w:r>
      <w:r w:rsidR="00EA6A86" w:rsidRPr="00485A4C">
        <w:rPr>
          <w:rFonts w:ascii="Tahoma" w:hAnsi="Tahoma" w:cs="Tahoma"/>
          <w:sz w:val="22"/>
          <w:szCs w:val="22"/>
        </w:rPr>
        <w:t xml:space="preserve"> </w:t>
      </w:r>
      <w:r w:rsidR="00226AE1" w:rsidRPr="00485A4C">
        <w:rPr>
          <w:rFonts w:ascii="Tahoma" w:hAnsi="Tahoma" w:cs="Tahoma"/>
          <w:sz w:val="22"/>
          <w:szCs w:val="22"/>
        </w:rPr>
        <w:t>εταιρείας</w:t>
      </w:r>
      <w:r w:rsidR="00EA6A86" w:rsidRPr="00485A4C">
        <w:rPr>
          <w:rFonts w:ascii="Tahoma" w:hAnsi="Tahoma" w:cs="Tahoma"/>
          <w:sz w:val="22"/>
          <w:szCs w:val="22"/>
        </w:rPr>
        <w:t xml:space="preserve"> θεωρεί επισφαλή ως προς την είσπραξη τους. </w:t>
      </w:r>
      <w:r w:rsidR="00BE184F" w:rsidRPr="00485A4C">
        <w:rPr>
          <w:rFonts w:ascii="Tahoma" w:hAnsi="Tahoma" w:cs="Tahoma"/>
          <w:sz w:val="22"/>
          <w:szCs w:val="22"/>
        </w:rPr>
        <w:t xml:space="preserve">Δεν υπάρχουν απαιτήσεις </w:t>
      </w:r>
      <w:r w:rsidR="00CA6B5C" w:rsidRPr="00485A4C">
        <w:rPr>
          <w:rFonts w:ascii="Tahoma" w:hAnsi="Tahoma" w:cs="Tahoma"/>
          <w:sz w:val="22"/>
          <w:szCs w:val="22"/>
        </w:rPr>
        <w:t>με ισχυρές ενδείξεις επισφ</w:t>
      </w:r>
      <w:r w:rsidR="00F91EDB" w:rsidRPr="00485A4C">
        <w:rPr>
          <w:rFonts w:ascii="Tahoma" w:hAnsi="Tahoma" w:cs="Tahoma"/>
          <w:sz w:val="22"/>
          <w:szCs w:val="22"/>
        </w:rPr>
        <w:t>ά</w:t>
      </w:r>
      <w:r w:rsidR="00CA6B5C" w:rsidRPr="00485A4C">
        <w:rPr>
          <w:rFonts w:ascii="Tahoma" w:hAnsi="Tahoma" w:cs="Tahoma"/>
          <w:sz w:val="22"/>
          <w:szCs w:val="22"/>
        </w:rPr>
        <w:t>λει</w:t>
      </w:r>
      <w:r w:rsidR="00F91EDB" w:rsidRPr="00485A4C">
        <w:rPr>
          <w:rFonts w:ascii="Tahoma" w:hAnsi="Tahoma" w:cs="Tahoma"/>
          <w:sz w:val="22"/>
          <w:szCs w:val="22"/>
        </w:rPr>
        <w:t>ας</w:t>
      </w:r>
      <w:r w:rsidR="00CA6B5C" w:rsidRPr="00485A4C">
        <w:rPr>
          <w:rFonts w:ascii="Tahoma" w:hAnsi="Tahoma" w:cs="Tahoma"/>
          <w:sz w:val="22"/>
          <w:szCs w:val="22"/>
        </w:rPr>
        <w:t xml:space="preserve"> </w:t>
      </w:r>
      <w:r w:rsidR="00BE184F" w:rsidRPr="00485A4C">
        <w:rPr>
          <w:rFonts w:ascii="Tahoma" w:hAnsi="Tahoma" w:cs="Tahoma"/>
          <w:sz w:val="22"/>
          <w:szCs w:val="22"/>
        </w:rPr>
        <w:t>για τις οποίες δεν έχουν διενεργηθεί απομειώσεις.</w:t>
      </w:r>
    </w:p>
    <w:p w:rsidR="00480197" w:rsidRPr="00485A4C" w:rsidRDefault="0020008D" w:rsidP="00480197">
      <w:pPr>
        <w:pStyle w:val="Heading2"/>
        <w:ind w:left="-540"/>
        <w:rPr>
          <w:rFonts w:ascii="Tahoma" w:hAnsi="Tahoma" w:cs="Tahoma"/>
          <w:i w:val="0"/>
          <w:sz w:val="22"/>
          <w:szCs w:val="22"/>
        </w:rPr>
      </w:pPr>
      <w:bookmarkStart w:id="34" w:name="_Toc178753437"/>
      <w:bookmarkStart w:id="35" w:name="_Toc526260607"/>
      <w:r w:rsidRPr="00485A4C">
        <w:rPr>
          <w:rFonts w:ascii="Tahoma" w:hAnsi="Tahoma" w:cs="Tahoma"/>
          <w:i w:val="0"/>
          <w:iCs w:val="0"/>
          <w:sz w:val="22"/>
          <w:szCs w:val="22"/>
          <w:lang w:val="el-GR"/>
        </w:rPr>
        <w:t>7</w:t>
      </w:r>
      <w:r w:rsidR="00480197" w:rsidRPr="00485A4C">
        <w:rPr>
          <w:rFonts w:ascii="Tahoma" w:hAnsi="Tahoma" w:cs="Tahoma"/>
          <w:i w:val="0"/>
          <w:iCs w:val="0"/>
          <w:sz w:val="22"/>
          <w:szCs w:val="22"/>
        </w:rPr>
        <w:t>.</w:t>
      </w:r>
      <w:r w:rsidR="00BE65F3" w:rsidRPr="00485A4C">
        <w:rPr>
          <w:rFonts w:ascii="Tahoma" w:hAnsi="Tahoma" w:cs="Tahoma"/>
          <w:i w:val="0"/>
          <w:sz w:val="22"/>
          <w:szCs w:val="22"/>
        </w:rPr>
        <w:t>6</w:t>
      </w:r>
      <w:r w:rsidR="00480197" w:rsidRPr="00485A4C">
        <w:rPr>
          <w:rFonts w:ascii="Tahoma" w:hAnsi="Tahoma" w:cs="Tahoma"/>
          <w:i w:val="0"/>
          <w:sz w:val="22"/>
          <w:szCs w:val="22"/>
        </w:rPr>
        <w:t>. Λοιπές απαιτήσεις</w:t>
      </w:r>
      <w:bookmarkEnd w:id="34"/>
      <w:bookmarkEnd w:id="35"/>
    </w:p>
    <w:p w:rsidR="00480197" w:rsidRPr="00485A4C" w:rsidRDefault="00480197" w:rsidP="00480197">
      <w:pPr>
        <w:ind w:left="-540"/>
        <w:jc w:val="both"/>
        <w:rPr>
          <w:rFonts w:ascii="Tahoma" w:hAnsi="Tahoma" w:cs="Tahoma"/>
          <w:sz w:val="22"/>
          <w:szCs w:val="22"/>
        </w:rPr>
      </w:pPr>
    </w:p>
    <w:p w:rsidR="00480197" w:rsidRPr="00485A4C" w:rsidRDefault="00480197" w:rsidP="00480197">
      <w:pPr>
        <w:ind w:left="-540"/>
        <w:jc w:val="both"/>
        <w:rPr>
          <w:rFonts w:ascii="Tahoma" w:hAnsi="Tahoma" w:cs="Tahoma"/>
          <w:sz w:val="22"/>
          <w:szCs w:val="22"/>
        </w:rPr>
      </w:pPr>
      <w:r w:rsidRPr="00485A4C">
        <w:rPr>
          <w:rFonts w:ascii="Tahoma" w:hAnsi="Tahoma" w:cs="Tahoma"/>
          <w:sz w:val="22"/>
          <w:szCs w:val="22"/>
        </w:rPr>
        <w:t xml:space="preserve">Τα υπόλοιπα των </w:t>
      </w:r>
      <w:r w:rsidRPr="00485A4C">
        <w:rPr>
          <w:rFonts w:ascii="Tahoma" w:hAnsi="Tahoma" w:cs="Tahoma"/>
          <w:iCs/>
          <w:sz w:val="22"/>
          <w:szCs w:val="22"/>
        </w:rPr>
        <w:t xml:space="preserve"> λοιπών  απαιτήσεων</w:t>
      </w:r>
      <w:r w:rsidRPr="00485A4C">
        <w:rPr>
          <w:rFonts w:ascii="Tahoma" w:hAnsi="Tahoma" w:cs="Tahoma"/>
          <w:sz w:val="22"/>
          <w:szCs w:val="22"/>
        </w:rPr>
        <w:t xml:space="preserve"> λοιπών  αναλύονται ως εξής:</w:t>
      </w:r>
    </w:p>
    <w:p w:rsidR="006A220C" w:rsidRPr="00485A4C" w:rsidRDefault="006A220C" w:rsidP="00480197">
      <w:pPr>
        <w:ind w:left="-540"/>
        <w:jc w:val="both"/>
        <w:rPr>
          <w:rFonts w:ascii="Tahoma" w:hAnsi="Tahoma" w:cs="Tahoma"/>
          <w:sz w:val="22"/>
          <w:szCs w:val="22"/>
        </w:rPr>
      </w:pPr>
    </w:p>
    <w:p w:rsidR="009B4CE0" w:rsidRDefault="009B4CE0" w:rsidP="009B4CE0">
      <w:pPr>
        <w:ind w:left="-709"/>
        <w:jc w:val="both"/>
        <w:rPr>
          <w:rFonts w:ascii="Tahoma" w:hAnsi="Tahoma" w:cs="Tahoma"/>
          <w:sz w:val="22"/>
          <w:szCs w:val="22"/>
          <w:lang w:val="en-US"/>
        </w:rPr>
      </w:pPr>
    </w:p>
    <w:tbl>
      <w:tblPr>
        <w:tblW w:w="9348" w:type="dxa"/>
        <w:tblInd w:w="-1125" w:type="dxa"/>
        <w:tblLook w:val="04A0" w:firstRow="1" w:lastRow="0" w:firstColumn="1" w:lastColumn="0" w:noHBand="0" w:noVBand="1"/>
      </w:tblPr>
      <w:tblGrid>
        <w:gridCol w:w="3176"/>
        <w:gridCol w:w="2896"/>
        <w:gridCol w:w="3276"/>
      </w:tblGrid>
      <w:tr w:rsidR="000F032F" w:rsidTr="000F032F">
        <w:trPr>
          <w:trHeight w:val="264"/>
        </w:trPr>
        <w:tc>
          <w:tcPr>
            <w:tcW w:w="3176" w:type="dxa"/>
            <w:tcBorders>
              <w:top w:val="nil"/>
              <w:left w:val="nil"/>
              <w:bottom w:val="nil"/>
              <w:right w:val="nil"/>
            </w:tcBorders>
            <w:shd w:val="clear" w:color="000000" w:fill="E6E6E6"/>
            <w:noWrap/>
            <w:vAlign w:val="bottom"/>
            <w:hideMark/>
          </w:tcPr>
          <w:p w:rsidR="000F032F" w:rsidRDefault="000F032F">
            <w:pPr>
              <w:rPr>
                <w:rFonts w:ascii="Tahoma" w:hAnsi="Tahoma" w:cs="Tahoma"/>
                <w:b/>
                <w:bCs/>
                <w:sz w:val="18"/>
                <w:szCs w:val="18"/>
              </w:rPr>
            </w:pPr>
            <w:r>
              <w:rPr>
                <w:rFonts w:ascii="Tahoma" w:hAnsi="Tahoma" w:cs="Tahoma"/>
                <w:b/>
                <w:bCs/>
                <w:sz w:val="18"/>
                <w:szCs w:val="18"/>
              </w:rPr>
              <w:t xml:space="preserve">Λοιπές απαιτήσεις </w:t>
            </w:r>
          </w:p>
        </w:tc>
        <w:tc>
          <w:tcPr>
            <w:tcW w:w="2896" w:type="dxa"/>
            <w:tcBorders>
              <w:top w:val="nil"/>
              <w:left w:val="nil"/>
              <w:bottom w:val="nil"/>
              <w:right w:val="nil"/>
            </w:tcBorders>
            <w:shd w:val="clear" w:color="000000" w:fill="E6E6E6"/>
            <w:noWrap/>
            <w:vAlign w:val="bottom"/>
            <w:hideMark/>
          </w:tcPr>
          <w:p w:rsidR="000F032F" w:rsidRDefault="000F032F">
            <w:pPr>
              <w:jc w:val="center"/>
              <w:rPr>
                <w:rFonts w:ascii="Tahoma" w:hAnsi="Tahoma" w:cs="Tahoma"/>
                <w:b/>
                <w:bCs/>
                <w:sz w:val="18"/>
                <w:szCs w:val="18"/>
              </w:rPr>
            </w:pPr>
            <w:r>
              <w:rPr>
                <w:rFonts w:ascii="Tahoma" w:hAnsi="Tahoma" w:cs="Tahoma"/>
                <w:b/>
                <w:bCs/>
                <w:sz w:val="18"/>
                <w:szCs w:val="18"/>
              </w:rPr>
              <w:t>31.12.2018</w:t>
            </w:r>
          </w:p>
        </w:tc>
        <w:tc>
          <w:tcPr>
            <w:tcW w:w="3276" w:type="dxa"/>
            <w:tcBorders>
              <w:top w:val="nil"/>
              <w:left w:val="nil"/>
              <w:bottom w:val="nil"/>
              <w:right w:val="nil"/>
            </w:tcBorders>
            <w:shd w:val="clear" w:color="000000" w:fill="E6E6E6"/>
            <w:noWrap/>
            <w:vAlign w:val="bottom"/>
            <w:hideMark/>
          </w:tcPr>
          <w:p w:rsidR="000F032F" w:rsidRDefault="000F032F">
            <w:pPr>
              <w:jc w:val="center"/>
              <w:rPr>
                <w:rFonts w:ascii="Tahoma" w:hAnsi="Tahoma" w:cs="Tahoma"/>
                <w:b/>
                <w:bCs/>
                <w:sz w:val="18"/>
                <w:szCs w:val="18"/>
              </w:rPr>
            </w:pPr>
            <w:r>
              <w:rPr>
                <w:rFonts w:ascii="Tahoma" w:hAnsi="Tahoma" w:cs="Tahoma"/>
                <w:b/>
                <w:bCs/>
                <w:sz w:val="18"/>
                <w:szCs w:val="18"/>
              </w:rPr>
              <w:t>31.12.2017</w:t>
            </w:r>
          </w:p>
        </w:tc>
      </w:tr>
      <w:tr w:rsidR="000F032F" w:rsidTr="000F032F">
        <w:trPr>
          <w:trHeight w:val="360"/>
        </w:trPr>
        <w:tc>
          <w:tcPr>
            <w:tcW w:w="3176" w:type="dxa"/>
            <w:tcBorders>
              <w:top w:val="nil"/>
              <w:left w:val="nil"/>
              <w:bottom w:val="nil"/>
              <w:right w:val="nil"/>
            </w:tcBorders>
            <w:shd w:val="clear" w:color="auto" w:fill="auto"/>
            <w:noWrap/>
            <w:vAlign w:val="center"/>
            <w:hideMark/>
          </w:tcPr>
          <w:p w:rsidR="000F032F" w:rsidRDefault="000F032F">
            <w:pPr>
              <w:rPr>
                <w:rFonts w:ascii="Tahoma" w:hAnsi="Tahoma" w:cs="Tahoma"/>
                <w:sz w:val="18"/>
                <w:szCs w:val="18"/>
              </w:rPr>
            </w:pPr>
            <w:r>
              <w:rPr>
                <w:rFonts w:ascii="Tahoma" w:hAnsi="Tahoma" w:cs="Tahoma"/>
                <w:sz w:val="18"/>
                <w:szCs w:val="18"/>
              </w:rPr>
              <w:t>Μεταβατικοί λογαριασμοί</w:t>
            </w:r>
          </w:p>
        </w:tc>
        <w:tc>
          <w:tcPr>
            <w:tcW w:w="2896" w:type="dxa"/>
            <w:tcBorders>
              <w:top w:val="nil"/>
              <w:left w:val="nil"/>
              <w:bottom w:val="nil"/>
              <w:right w:val="nil"/>
            </w:tcBorders>
            <w:shd w:val="clear" w:color="auto" w:fill="auto"/>
            <w:noWrap/>
            <w:vAlign w:val="center"/>
            <w:hideMark/>
          </w:tcPr>
          <w:p w:rsidR="000F032F" w:rsidRDefault="000F032F">
            <w:pPr>
              <w:jc w:val="right"/>
              <w:rPr>
                <w:rFonts w:ascii="Tahoma" w:hAnsi="Tahoma" w:cs="Tahoma"/>
                <w:sz w:val="18"/>
                <w:szCs w:val="18"/>
              </w:rPr>
            </w:pPr>
            <w:r>
              <w:rPr>
                <w:rFonts w:ascii="Tahoma" w:hAnsi="Tahoma" w:cs="Tahoma"/>
                <w:sz w:val="18"/>
                <w:szCs w:val="18"/>
              </w:rPr>
              <w:t>7.314,14</w:t>
            </w:r>
          </w:p>
        </w:tc>
        <w:tc>
          <w:tcPr>
            <w:tcW w:w="3276" w:type="dxa"/>
            <w:tcBorders>
              <w:top w:val="nil"/>
              <w:left w:val="nil"/>
              <w:bottom w:val="nil"/>
              <w:right w:val="nil"/>
            </w:tcBorders>
            <w:shd w:val="clear" w:color="auto" w:fill="auto"/>
            <w:noWrap/>
            <w:vAlign w:val="center"/>
            <w:hideMark/>
          </w:tcPr>
          <w:p w:rsidR="000F032F" w:rsidRDefault="000F032F">
            <w:pPr>
              <w:jc w:val="right"/>
              <w:rPr>
                <w:rFonts w:ascii="Tahoma" w:hAnsi="Tahoma" w:cs="Tahoma"/>
                <w:sz w:val="18"/>
                <w:szCs w:val="18"/>
              </w:rPr>
            </w:pPr>
            <w:r>
              <w:rPr>
                <w:rFonts w:ascii="Tahoma" w:hAnsi="Tahoma" w:cs="Tahoma"/>
                <w:sz w:val="18"/>
                <w:szCs w:val="18"/>
              </w:rPr>
              <w:t>9.159,16</w:t>
            </w:r>
          </w:p>
        </w:tc>
      </w:tr>
      <w:tr w:rsidR="000F032F" w:rsidTr="000F032F">
        <w:trPr>
          <w:trHeight w:val="360"/>
        </w:trPr>
        <w:tc>
          <w:tcPr>
            <w:tcW w:w="3176" w:type="dxa"/>
            <w:tcBorders>
              <w:top w:val="nil"/>
              <w:left w:val="nil"/>
              <w:bottom w:val="nil"/>
              <w:right w:val="nil"/>
            </w:tcBorders>
            <w:shd w:val="clear" w:color="auto" w:fill="auto"/>
            <w:noWrap/>
            <w:vAlign w:val="center"/>
            <w:hideMark/>
          </w:tcPr>
          <w:p w:rsidR="000F032F" w:rsidRDefault="000F032F">
            <w:pPr>
              <w:rPr>
                <w:rFonts w:ascii="Tahoma" w:hAnsi="Tahoma" w:cs="Tahoma"/>
                <w:sz w:val="18"/>
                <w:szCs w:val="18"/>
              </w:rPr>
            </w:pPr>
            <w:r>
              <w:rPr>
                <w:rFonts w:ascii="Tahoma" w:hAnsi="Tahoma" w:cs="Tahoma"/>
                <w:sz w:val="18"/>
                <w:szCs w:val="18"/>
              </w:rPr>
              <w:t>Προσωπικό λ/σμοί προς απόδοση</w:t>
            </w:r>
          </w:p>
        </w:tc>
        <w:tc>
          <w:tcPr>
            <w:tcW w:w="2896" w:type="dxa"/>
            <w:tcBorders>
              <w:top w:val="nil"/>
              <w:left w:val="nil"/>
              <w:bottom w:val="nil"/>
              <w:right w:val="nil"/>
            </w:tcBorders>
            <w:shd w:val="clear" w:color="auto" w:fill="auto"/>
            <w:noWrap/>
            <w:vAlign w:val="center"/>
            <w:hideMark/>
          </w:tcPr>
          <w:p w:rsidR="000F032F" w:rsidRDefault="000F032F">
            <w:pPr>
              <w:jc w:val="right"/>
              <w:rPr>
                <w:rFonts w:ascii="Tahoma" w:hAnsi="Tahoma" w:cs="Tahoma"/>
                <w:sz w:val="18"/>
                <w:szCs w:val="18"/>
              </w:rPr>
            </w:pPr>
            <w:r>
              <w:rPr>
                <w:rFonts w:ascii="Tahoma" w:hAnsi="Tahoma" w:cs="Tahoma"/>
                <w:sz w:val="18"/>
                <w:szCs w:val="18"/>
              </w:rPr>
              <w:t>0,00</w:t>
            </w:r>
          </w:p>
        </w:tc>
        <w:tc>
          <w:tcPr>
            <w:tcW w:w="3276" w:type="dxa"/>
            <w:tcBorders>
              <w:top w:val="nil"/>
              <w:left w:val="nil"/>
              <w:bottom w:val="nil"/>
              <w:right w:val="nil"/>
            </w:tcBorders>
            <w:shd w:val="clear" w:color="auto" w:fill="auto"/>
            <w:noWrap/>
            <w:vAlign w:val="center"/>
            <w:hideMark/>
          </w:tcPr>
          <w:p w:rsidR="000F032F" w:rsidRDefault="000F032F">
            <w:pPr>
              <w:jc w:val="right"/>
              <w:rPr>
                <w:rFonts w:ascii="Tahoma" w:hAnsi="Tahoma" w:cs="Tahoma"/>
                <w:sz w:val="18"/>
                <w:szCs w:val="18"/>
              </w:rPr>
            </w:pPr>
            <w:r>
              <w:rPr>
                <w:rFonts w:ascii="Tahoma" w:hAnsi="Tahoma" w:cs="Tahoma"/>
                <w:sz w:val="18"/>
                <w:szCs w:val="18"/>
              </w:rPr>
              <w:t>0,00</w:t>
            </w:r>
          </w:p>
        </w:tc>
      </w:tr>
      <w:tr w:rsidR="000F032F" w:rsidTr="000F032F">
        <w:trPr>
          <w:trHeight w:val="360"/>
        </w:trPr>
        <w:tc>
          <w:tcPr>
            <w:tcW w:w="3176" w:type="dxa"/>
            <w:tcBorders>
              <w:top w:val="nil"/>
              <w:left w:val="nil"/>
              <w:bottom w:val="nil"/>
              <w:right w:val="nil"/>
            </w:tcBorders>
            <w:shd w:val="clear" w:color="auto" w:fill="auto"/>
            <w:noWrap/>
            <w:vAlign w:val="center"/>
            <w:hideMark/>
          </w:tcPr>
          <w:p w:rsidR="000F032F" w:rsidRDefault="000F032F">
            <w:pPr>
              <w:rPr>
                <w:rFonts w:ascii="Tahoma" w:hAnsi="Tahoma" w:cs="Tahoma"/>
                <w:sz w:val="18"/>
                <w:szCs w:val="18"/>
              </w:rPr>
            </w:pPr>
            <w:r>
              <w:rPr>
                <w:rFonts w:ascii="Tahoma" w:hAnsi="Tahoma" w:cs="Tahoma"/>
                <w:sz w:val="18"/>
                <w:szCs w:val="18"/>
              </w:rPr>
              <w:t>Χρεώστες διάφοροι</w:t>
            </w:r>
          </w:p>
        </w:tc>
        <w:tc>
          <w:tcPr>
            <w:tcW w:w="2896" w:type="dxa"/>
            <w:tcBorders>
              <w:top w:val="nil"/>
              <w:left w:val="nil"/>
              <w:bottom w:val="nil"/>
              <w:right w:val="nil"/>
            </w:tcBorders>
            <w:shd w:val="clear" w:color="auto" w:fill="auto"/>
            <w:noWrap/>
            <w:vAlign w:val="center"/>
            <w:hideMark/>
          </w:tcPr>
          <w:p w:rsidR="000F032F" w:rsidRDefault="000F032F">
            <w:pPr>
              <w:jc w:val="right"/>
              <w:rPr>
                <w:rFonts w:ascii="Tahoma" w:hAnsi="Tahoma" w:cs="Tahoma"/>
                <w:sz w:val="18"/>
                <w:szCs w:val="18"/>
              </w:rPr>
            </w:pPr>
            <w:r>
              <w:rPr>
                <w:rFonts w:ascii="Tahoma" w:hAnsi="Tahoma" w:cs="Tahoma"/>
                <w:sz w:val="18"/>
                <w:szCs w:val="18"/>
              </w:rPr>
              <w:t>2.407,83</w:t>
            </w:r>
          </w:p>
        </w:tc>
        <w:tc>
          <w:tcPr>
            <w:tcW w:w="3276" w:type="dxa"/>
            <w:tcBorders>
              <w:top w:val="nil"/>
              <w:left w:val="nil"/>
              <w:bottom w:val="nil"/>
              <w:right w:val="nil"/>
            </w:tcBorders>
            <w:shd w:val="clear" w:color="auto" w:fill="auto"/>
            <w:noWrap/>
            <w:vAlign w:val="center"/>
            <w:hideMark/>
          </w:tcPr>
          <w:p w:rsidR="000F032F" w:rsidRDefault="000F032F">
            <w:pPr>
              <w:jc w:val="right"/>
              <w:rPr>
                <w:rFonts w:ascii="Tahoma" w:hAnsi="Tahoma" w:cs="Tahoma"/>
                <w:sz w:val="18"/>
                <w:szCs w:val="18"/>
              </w:rPr>
            </w:pPr>
            <w:r>
              <w:rPr>
                <w:rFonts w:ascii="Tahoma" w:hAnsi="Tahoma" w:cs="Tahoma"/>
                <w:sz w:val="18"/>
                <w:szCs w:val="18"/>
              </w:rPr>
              <w:t>3.422,22</w:t>
            </w:r>
          </w:p>
        </w:tc>
      </w:tr>
      <w:tr w:rsidR="000F032F" w:rsidTr="000F032F">
        <w:trPr>
          <w:trHeight w:val="360"/>
        </w:trPr>
        <w:tc>
          <w:tcPr>
            <w:tcW w:w="3176" w:type="dxa"/>
            <w:tcBorders>
              <w:top w:val="nil"/>
              <w:left w:val="nil"/>
              <w:bottom w:val="nil"/>
              <w:right w:val="nil"/>
            </w:tcBorders>
            <w:shd w:val="clear" w:color="auto" w:fill="auto"/>
            <w:noWrap/>
            <w:vAlign w:val="center"/>
            <w:hideMark/>
          </w:tcPr>
          <w:p w:rsidR="000F032F" w:rsidRDefault="000F032F">
            <w:pPr>
              <w:rPr>
                <w:rFonts w:ascii="Tahoma" w:hAnsi="Tahoma" w:cs="Tahoma"/>
                <w:sz w:val="18"/>
                <w:szCs w:val="18"/>
              </w:rPr>
            </w:pPr>
            <w:r>
              <w:rPr>
                <w:rFonts w:ascii="Tahoma" w:hAnsi="Tahoma" w:cs="Tahoma"/>
                <w:sz w:val="18"/>
                <w:szCs w:val="18"/>
              </w:rPr>
              <w:t>Ελληνικό δημόσιο</w:t>
            </w:r>
          </w:p>
        </w:tc>
        <w:tc>
          <w:tcPr>
            <w:tcW w:w="2896" w:type="dxa"/>
            <w:tcBorders>
              <w:top w:val="nil"/>
              <w:left w:val="nil"/>
              <w:bottom w:val="single" w:sz="4" w:space="0" w:color="auto"/>
              <w:right w:val="nil"/>
            </w:tcBorders>
            <w:shd w:val="clear" w:color="auto" w:fill="auto"/>
            <w:noWrap/>
            <w:vAlign w:val="center"/>
            <w:hideMark/>
          </w:tcPr>
          <w:p w:rsidR="000F032F" w:rsidRDefault="000F032F">
            <w:pPr>
              <w:jc w:val="right"/>
              <w:rPr>
                <w:rFonts w:ascii="Tahoma" w:hAnsi="Tahoma" w:cs="Tahoma"/>
                <w:sz w:val="18"/>
                <w:szCs w:val="18"/>
              </w:rPr>
            </w:pPr>
            <w:r>
              <w:rPr>
                <w:rFonts w:ascii="Tahoma" w:hAnsi="Tahoma" w:cs="Tahoma"/>
                <w:sz w:val="18"/>
                <w:szCs w:val="18"/>
              </w:rPr>
              <w:t>277.197,24</w:t>
            </w:r>
          </w:p>
        </w:tc>
        <w:tc>
          <w:tcPr>
            <w:tcW w:w="3276" w:type="dxa"/>
            <w:tcBorders>
              <w:top w:val="nil"/>
              <w:left w:val="nil"/>
              <w:bottom w:val="single" w:sz="4" w:space="0" w:color="auto"/>
              <w:right w:val="nil"/>
            </w:tcBorders>
            <w:shd w:val="clear" w:color="auto" w:fill="auto"/>
            <w:noWrap/>
            <w:vAlign w:val="center"/>
            <w:hideMark/>
          </w:tcPr>
          <w:p w:rsidR="000F032F" w:rsidRDefault="000F032F">
            <w:pPr>
              <w:jc w:val="right"/>
              <w:rPr>
                <w:rFonts w:ascii="Tahoma" w:hAnsi="Tahoma" w:cs="Tahoma"/>
                <w:sz w:val="18"/>
                <w:szCs w:val="18"/>
              </w:rPr>
            </w:pPr>
            <w:r>
              <w:rPr>
                <w:rFonts w:ascii="Tahoma" w:hAnsi="Tahoma" w:cs="Tahoma"/>
                <w:sz w:val="18"/>
                <w:szCs w:val="18"/>
              </w:rPr>
              <w:t>166.947,13</w:t>
            </w:r>
          </w:p>
        </w:tc>
      </w:tr>
      <w:tr w:rsidR="000F032F" w:rsidTr="000F032F">
        <w:trPr>
          <w:trHeight w:val="360"/>
        </w:trPr>
        <w:tc>
          <w:tcPr>
            <w:tcW w:w="3176" w:type="dxa"/>
            <w:tcBorders>
              <w:top w:val="nil"/>
              <w:left w:val="nil"/>
              <w:bottom w:val="nil"/>
              <w:right w:val="nil"/>
            </w:tcBorders>
            <w:shd w:val="clear" w:color="auto" w:fill="auto"/>
            <w:vAlign w:val="center"/>
            <w:hideMark/>
          </w:tcPr>
          <w:p w:rsidR="000F032F" w:rsidRDefault="000F032F">
            <w:pPr>
              <w:rPr>
                <w:rFonts w:ascii="Tahoma" w:hAnsi="Tahoma" w:cs="Tahoma"/>
                <w:b/>
                <w:bCs/>
                <w:sz w:val="18"/>
                <w:szCs w:val="18"/>
              </w:rPr>
            </w:pPr>
            <w:r>
              <w:rPr>
                <w:rFonts w:ascii="Tahoma" w:hAnsi="Tahoma" w:cs="Tahoma"/>
                <w:b/>
                <w:bCs/>
                <w:sz w:val="18"/>
                <w:szCs w:val="18"/>
              </w:rPr>
              <w:t>Σύνολο</w:t>
            </w:r>
          </w:p>
        </w:tc>
        <w:tc>
          <w:tcPr>
            <w:tcW w:w="2896" w:type="dxa"/>
            <w:tcBorders>
              <w:top w:val="nil"/>
              <w:left w:val="nil"/>
              <w:bottom w:val="double" w:sz="6" w:space="0" w:color="auto"/>
              <w:right w:val="nil"/>
            </w:tcBorders>
            <w:shd w:val="clear" w:color="auto" w:fill="auto"/>
            <w:vAlign w:val="center"/>
            <w:hideMark/>
          </w:tcPr>
          <w:p w:rsidR="000F032F" w:rsidRDefault="000F032F">
            <w:pPr>
              <w:jc w:val="right"/>
              <w:rPr>
                <w:rFonts w:ascii="Tahoma" w:hAnsi="Tahoma" w:cs="Tahoma"/>
                <w:b/>
                <w:bCs/>
                <w:sz w:val="18"/>
                <w:szCs w:val="18"/>
              </w:rPr>
            </w:pPr>
            <w:r>
              <w:rPr>
                <w:rFonts w:ascii="Tahoma" w:hAnsi="Tahoma" w:cs="Tahoma"/>
                <w:b/>
                <w:bCs/>
                <w:sz w:val="18"/>
                <w:szCs w:val="18"/>
              </w:rPr>
              <w:t>286.919,21</w:t>
            </w:r>
          </w:p>
        </w:tc>
        <w:tc>
          <w:tcPr>
            <w:tcW w:w="3276" w:type="dxa"/>
            <w:tcBorders>
              <w:top w:val="nil"/>
              <w:left w:val="nil"/>
              <w:bottom w:val="double" w:sz="6" w:space="0" w:color="auto"/>
              <w:right w:val="nil"/>
            </w:tcBorders>
            <w:shd w:val="clear" w:color="auto" w:fill="auto"/>
            <w:vAlign w:val="center"/>
            <w:hideMark/>
          </w:tcPr>
          <w:p w:rsidR="000F032F" w:rsidRDefault="000F032F">
            <w:pPr>
              <w:jc w:val="right"/>
              <w:rPr>
                <w:rFonts w:ascii="Tahoma" w:hAnsi="Tahoma" w:cs="Tahoma"/>
                <w:b/>
                <w:bCs/>
                <w:sz w:val="18"/>
                <w:szCs w:val="18"/>
              </w:rPr>
            </w:pPr>
            <w:r>
              <w:rPr>
                <w:rFonts w:ascii="Tahoma" w:hAnsi="Tahoma" w:cs="Tahoma"/>
                <w:b/>
                <w:bCs/>
                <w:sz w:val="18"/>
                <w:szCs w:val="18"/>
              </w:rPr>
              <w:t>179.528,51</w:t>
            </w:r>
          </w:p>
        </w:tc>
      </w:tr>
    </w:tbl>
    <w:p w:rsidR="000F032F" w:rsidRDefault="000F032F" w:rsidP="009B4CE0">
      <w:pPr>
        <w:ind w:left="-709"/>
        <w:jc w:val="both"/>
        <w:rPr>
          <w:rFonts w:ascii="Tahoma" w:hAnsi="Tahoma" w:cs="Tahoma"/>
          <w:sz w:val="22"/>
          <w:szCs w:val="22"/>
          <w:lang w:val="en-US"/>
        </w:rPr>
      </w:pPr>
    </w:p>
    <w:p w:rsidR="000F032F" w:rsidRDefault="000F032F" w:rsidP="009B4CE0">
      <w:pPr>
        <w:ind w:left="-709"/>
        <w:jc w:val="both"/>
        <w:rPr>
          <w:rFonts w:ascii="Tahoma" w:hAnsi="Tahoma" w:cs="Tahoma"/>
          <w:sz w:val="22"/>
          <w:szCs w:val="22"/>
          <w:lang w:val="en-US"/>
        </w:rPr>
      </w:pPr>
    </w:p>
    <w:p w:rsidR="000F032F" w:rsidRDefault="000F032F" w:rsidP="009B4CE0">
      <w:pPr>
        <w:ind w:left="-709"/>
        <w:jc w:val="both"/>
        <w:rPr>
          <w:rFonts w:ascii="Tahoma" w:hAnsi="Tahoma" w:cs="Tahoma"/>
          <w:sz w:val="22"/>
          <w:szCs w:val="22"/>
          <w:lang w:val="en-US"/>
        </w:rPr>
      </w:pPr>
    </w:p>
    <w:p w:rsidR="000F032F" w:rsidRDefault="000F032F" w:rsidP="009B4CE0">
      <w:pPr>
        <w:ind w:left="-709"/>
        <w:jc w:val="both"/>
        <w:rPr>
          <w:rFonts w:ascii="Tahoma" w:hAnsi="Tahoma" w:cs="Tahoma"/>
          <w:sz w:val="22"/>
          <w:szCs w:val="22"/>
        </w:rPr>
      </w:pPr>
    </w:p>
    <w:p w:rsidR="000F032F" w:rsidRDefault="000F032F" w:rsidP="009B4CE0">
      <w:pPr>
        <w:ind w:left="-709"/>
        <w:jc w:val="both"/>
        <w:rPr>
          <w:rFonts w:ascii="Tahoma" w:hAnsi="Tahoma" w:cs="Tahoma"/>
          <w:sz w:val="22"/>
          <w:szCs w:val="22"/>
        </w:rPr>
      </w:pPr>
    </w:p>
    <w:p w:rsidR="000F032F" w:rsidRDefault="000F032F" w:rsidP="009B4CE0">
      <w:pPr>
        <w:ind w:left="-709"/>
        <w:jc w:val="both"/>
        <w:rPr>
          <w:rFonts w:ascii="Tahoma" w:hAnsi="Tahoma" w:cs="Tahoma"/>
          <w:sz w:val="22"/>
          <w:szCs w:val="22"/>
        </w:rPr>
      </w:pPr>
    </w:p>
    <w:p w:rsidR="000F032F" w:rsidRPr="00485A4C" w:rsidRDefault="000F032F" w:rsidP="009B4CE0">
      <w:pPr>
        <w:ind w:left="-709"/>
        <w:jc w:val="both"/>
        <w:rPr>
          <w:rFonts w:ascii="Tahoma" w:hAnsi="Tahoma" w:cs="Tahoma"/>
          <w:sz w:val="22"/>
          <w:szCs w:val="22"/>
        </w:rPr>
      </w:pPr>
    </w:p>
    <w:p w:rsidR="006A220C" w:rsidRPr="00485A4C" w:rsidRDefault="006A220C" w:rsidP="009B4CE0">
      <w:pPr>
        <w:ind w:left="-709"/>
        <w:jc w:val="both"/>
        <w:rPr>
          <w:rFonts w:ascii="Tahoma" w:hAnsi="Tahoma" w:cs="Tahoma"/>
          <w:sz w:val="22"/>
          <w:szCs w:val="22"/>
        </w:rPr>
      </w:pPr>
    </w:p>
    <w:p w:rsidR="00B74DFC" w:rsidRPr="00485A4C" w:rsidRDefault="00B74DFC" w:rsidP="009B4CE0">
      <w:pPr>
        <w:ind w:left="-709"/>
        <w:jc w:val="both"/>
        <w:rPr>
          <w:rFonts w:ascii="Tahoma" w:hAnsi="Tahoma" w:cs="Tahoma"/>
          <w:sz w:val="22"/>
          <w:szCs w:val="22"/>
        </w:rPr>
      </w:pPr>
    </w:p>
    <w:p w:rsidR="00480197" w:rsidRPr="00485A4C" w:rsidRDefault="0020008D" w:rsidP="00480197">
      <w:pPr>
        <w:pStyle w:val="Heading2"/>
        <w:ind w:left="-540"/>
        <w:rPr>
          <w:rFonts w:ascii="Tahoma" w:hAnsi="Tahoma" w:cs="Tahoma"/>
          <w:i w:val="0"/>
          <w:sz w:val="22"/>
          <w:szCs w:val="22"/>
        </w:rPr>
      </w:pPr>
      <w:bookmarkStart w:id="36" w:name="_Toc178753438"/>
      <w:bookmarkStart w:id="37" w:name="_Toc526260608"/>
      <w:r w:rsidRPr="00485A4C">
        <w:rPr>
          <w:rFonts w:ascii="Tahoma" w:hAnsi="Tahoma" w:cs="Tahoma"/>
          <w:i w:val="0"/>
          <w:sz w:val="22"/>
          <w:szCs w:val="22"/>
        </w:rPr>
        <w:lastRenderedPageBreak/>
        <w:t>7</w:t>
      </w:r>
      <w:r w:rsidR="00480197" w:rsidRPr="00485A4C">
        <w:rPr>
          <w:rFonts w:ascii="Tahoma" w:hAnsi="Tahoma" w:cs="Tahoma"/>
          <w:i w:val="0"/>
          <w:sz w:val="22"/>
          <w:szCs w:val="22"/>
        </w:rPr>
        <w:t>.</w:t>
      </w:r>
      <w:r w:rsidR="00BE65F3" w:rsidRPr="00485A4C">
        <w:rPr>
          <w:rFonts w:ascii="Tahoma" w:hAnsi="Tahoma" w:cs="Tahoma"/>
          <w:i w:val="0"/>
          <w:sz w:val="22"/>
          <w:szCs w:val="22"/>
        </w:rPr>
        <w:t>7</w:t>
      </w:r>
      <w:r w:rsidR="00480197" w:rsidRPr="00485A4C">
        <w:rPr>
          <w:rFonts w:ascii="Tahoma" w:hAnsi="Tahoma" w:cs="Tahoma"/>
          <w:i w:val="0"/>
          <w:sz w:val="22"/>
          <w:szCs w:val="22"/>
        </w:rPr>
        <w:t>. Ταμιακά διαθέσιμα και ισοδύναμα αυτών</w:t>
      </w:r>
      <w:bookmarkEnd w:id="36"/>
      <w:bookmarkEnd w:id="37"/>
      <w:r w:rsidR="00480197" w:rsidRPr="00485A4C">
        <w:rPr>
          <w:rFonts w:ascii="Tahoma" w:hAnsi="Tahoma" w:cs="Tahoma"/>
          <w:i w:val="0"/>
          <w:sz w:val="22"/>
          <w:szCs w:val="22"/>
        </w:rPr>
        <w:t xml:space="preserve"> </w:t>
      </w:r>
    </w:p>
    <w:p w:rsidR="00480197" w:rsidRPr="00485A4C" w:rsidRDefault="00480197" w:rsidP="00480197">
      <w:pPr>
        <w:jc w:val="both"/>
        <w:rPr>
          <w:rFonts w:ascii="Tahoma" w:hAnsi="Tahoma" w:cs="Tahoma"/>
          <w:sz w:val="22"/>
          <w:szCs w:val="22"/>
        </w:rPr>
      </w:pPr>
    </w:p>
    <w:p w:rsidR="00F667AD" w:rsidRDefault="00480197" w:rsidP="00480197">
      <w:pPr>
        <w:ind w:left="-540"/>
        <w:jc w:val="both"/>
        <w:rPr>
          <w:rFonts w:ascii="Tahoma" w:hAnsi="Tahoma" w:cs="Tahoma"/>
          <w:sz w:val="22"/>
          <w:szCs w:val="22"/>
        </w:rPr>
      </w:pPr>
      <w:r w:rsidRPr="00485A4C">
        <w:rPr>
          <w:rFonts w:ascii="Tahoma" w:hAnsi="Tahoma" w:cs="Tahoma"/>
          <w:sz w:val="22"/>
          <w:szCs w:val="22"/>
        </w:rPr>
        <w:t>Τα υπόλοιπα των Ταμιακών  διαθεσίμων και ισοδ</w:t>
      </w:r>
      <w:r w:rsidR="00F667AD" w:rsidRPr="00485A4C">
        <w:rPr>
          <w:rFonts w:ascii="Tahoma" w:hAnsi="Tahoma" w:cs="Tahoma"/>
          <w:sz w:val="22"/>
          <w:szCs w:val="22"/>
        </w:rPr>
        <w:t>ύναμων αυτών αναλύονται ως εξής:</w:t>
      </w:r>
    </w:p>
    <w:p w:rsidR="000F032F" w:rsidRDefault="000F032F" w:rsidP="00480197">
      <w:pPr>
        <w:ind w:left="-540"/>
        <w:jc w:val="both"/>
        <w:rPr>
          <w:rFonts w:ascii="Tahoma" w:hAnsi="Tahoma" w:cs="Tahoma"/>
          <w:sz w:val="22"/>
          <w:szCs w:val="22"/>
        </w:rPr>
      </w:pPr>
    </w:p>
    <w:p w:rsidR="000F032F" w:rsidRPr="00485A4C" w:rsidRDefault="000F032F" w:rsidP="00480197">
      <w:pPr>
        <w:ind w:left="-540"/>
        <w:jc w:val="both"/>
        <w:rPr>
          <w:rFonts w:ascii="Tahoma" w:hAnsi="Tahoma" w:cs="Tahoma"/>
          <w:sz w:val="22"/>
          <w:szCs w:val="22"/>
        </w:rPr>
      </w:pPr>
    </w:p>
    <w:tbl>
      <w:tblPr>
        <w:tblW w:w="9348" w:type="dxa"/>
        <w:tblInd w:w="-1125" w:type="dxa"/>
        <w:tblLook w:val="04A0" w:firstRow="1" w:lastRow="0" w:firstColumn="1" w:lastColumn="0" w:noHBand="0" w:noVBand="1"/>
      </w:tblPr>
      <w:tblGrid>
        <w:gridCol w:w="3176"/>
        <w:gridCol w:w="2896"/>
        <w:gridCol w:w="3276"/>
      </w:tblGrid>
      <w:tr w:rsidR="000F032F" w:rsidTr="000F032F">
        <w:trPr>
          <w:trHeight w:val="276"/>
        </w:trPr>
        <w:tc>
          <w:tcPr>
            <w:tcW w:w="3176" w:type="dxa"/>
            <w:tcBorders>
              <w:top w:val="nil"/>
              <w:left w:val="nil"/>
              <w:bottom w:val="nil"/>
              <w:right w:val="nil"/>
            </w:tcBorders>
            <w:shd w:val="clear" w:color="000000" w:fill="E6E6E6"/>
            <w:noWrap/>
            <w:vAlign w:val="bottom"/>
            <w:hideMark/>
          </w:tcPr>
          <w:p w:rsidR="000F032F" w:rsidRDefault="000F032F">
            <w:pPr>
              <w:rPr>
                <w:rFonts w:ascii="Tahoma" w:hAnsi="Tahoma" w:cs="Tahoma"/>
                <w:b/>
                <w:bCs/>
                <w:sz w:val="18"/>
                <w:szCs w:val="18"/>
              </w:rPr>
            </w:pPr>
            <w:r>
              <w:rPr>
                <w:rFonts w:ascii="Tahoma" w:hAnsi="Tahoma" w:cs="Tahoma"/>
                <w:b/>
                <w:bCs/>
                <w:sz w:val="18"/>
                <w:szCs w:val="18"/>
              </w:rPr>
              <w:t>Διαθέσιμα</w:t>
            </w:r>
          </w:p>
        </w:tc>
        <w:tc>
          <w:tcPr>
            <w:tcW w:w="2896" w:type="dxa"/>
            <w:tcBorders>
              <w:top w:val="nil"/>
              <w:left w:val="nil"/>
              <w:bottom w:val="nil"/>
              <w:right w:val="nil"/>
            </w:tcBorders>
            <w:shd w:val="clear" w:color="000000" w:fill="E6E6E6"/>
            <w:noWrap/>
            <w:vAlign w:val="bottom"/>
            <w:hideMark/>
          </w:tcPr>
          <w:p w:rsidR="000F032F" w:rsidRDefault="000F032F">
            <w:pPr>
              <w:jc w:val="center"/>
              <w:rPr>
                <w:rFonts w:ascii="Tahoma" w:hAnsi="Tahoma" w:cs="Tahoma"/>
                <w:b/>
                <w:bCs/>
                <w:sz w:val="18"/>
                <w:szCs w:val="18"/>
              </w:rPr>
            </w:pPr>
            <w:r>
              <w:rPr>
                <w:rFonts w:ascii="Tahoma" w:hAnsi="Tahoma" w:cs="Tahoma"/>
                <w:b/>
                <w:bCs/>
                <w:sz w:val="18"/>
                <w:szCs w:val="18"/>
              </w:rPr>
              <w:t>31.12.2018</w:t>
            </w:r>
          </w:p>
        </w:tc>
        <w:tc>
          <w:tcPr>
            <w:tcW w:w="3276" w:type="dxa"/>
            <w:tcBorders>
              <w:top w:val="nil"/>
              <w:left w:val="nil"/>
              <w:bottom w:val="nil"/>
              <w:right w:val="nil"/>
            </w:tcBorders>
            <w:shd w:val="clear" w:color="000000" w:fill="E6E6E6"/>
            <w:noWrap/>
            <w:vAlign w:val="bottom"/>
            <w:hideMark/>
          </w:tcPr>
          <w:p w:rsidR="000F032F" w:rsidRDefault="000F032F">
            <w:pPr>
              <w:jc w:val="center"/>
              <w:rPr>
                <w:rFonts w:ascii="Tahoma" w:hAnsi="Tahoma" w:cs="Tahoma"/>
                <w:b/>
                <w:bCs/>
                <w:sz w:val="18"/>
                <w:szCs w:val="18"/>
              </w:rPr>
            </w:pPr>
            <w:r>
              <w:rPr>
                <w:rFonts w:ascii="Tahoma" w:hAnsi="Tahoma" w:cs="Tahoma"/>
                <w:b/>
                <w:bCs/>
                <w:sz w:val="18"/>
                <w:szCs w:val="18"/>
              </w:rPr>
              <w:t>31.12.2017</w:t>
            </w:r>
          </w:p>
        </w:tc>
      </w:tr>
      <w:tr w:rsidR="000F032F" w:rsidTr="000F032F">
        <w:trPr>
          <w:trHeight w:val="360"/>
        </w:trPr>
        <w:tc>
          <w:tcPr>
            <w:tcW w:w="3176"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Διαθέσιμα στο ταμείο</w:t>
            </w:r>
          </w:p>
        </w:tc>
        <w:tc>
          <w:tcPr>
            <w:tcW w:w="2896"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40.765,44</w:t>
            </w:r>
          </w:p>
        </w:tc>
        <w:tc>
          <w:tcPr>
            <w:tcW w:w="3276"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53.599,53</w:t>
            </w:r>
          </w:p>
        </w:tc>
      </w:tr>
      <w:tr w:rsidR="000F032F" w:rsidTr="000F032F">
        <w:trPr>
          <w:trHeight w:val="360"/>
        </w:trPr>
        <w:tc>
          <w:tcPr>
            <w:tcW w:w="3176"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Διαθέσιμα στις τράπεζες σε λογ. όψεως</w:t>
            </w:r>
          </w:p>
        </w:tc>
        <w:tc>
          <w:tcPr>
            <w:tcW w:w="2896"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771.342,80</w:t>
            </w:r>
          </w:p>
        </w:tc>
        <w:tc>
          <w:tcPr>
            <w:tcW w:w="3276" w:type="dxa"/>
            <w:tcBorders>
              <w:top w:val="nil"/>
              <w:left w:val="nil"/>
              <w:bottom w:val="nil"/>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515.025,90</w:t>
            </w:r>
          </w:p>
        </w:tc>
      </w:tr>
      <w:tr w:rsidR="000F032F" w:rsidTr="000F032F">
        <w:trPr>
          <w:trHeight w:val="360"/>
        </w:trPr>
        <w:tc>
          <w:tcPr>
            <w:tcW w:w="3176" w:type="dxa"/>
            <w:tcBorders>
              <w:top w:val="nil"/>
              <w:left w:val="nil"/>
              <w:bottom w:val="nil"/>
              <w:right w:val="nil"/>
            </w:tcBorders>
            <w:shd w:val="clear" w:color="auto" w:fill="auto"/>
            <w:noWrap/>
            <w:vAlign w:val="bottom"/>
            <w:hideMark/>
          </w:tcPr>
          <w:p w:rsidR="000F032F" w:rsidRDefault="000F032F">
            <w:pPr>
              <w:rPr>
                <w:rFonts w:ascii="Tahoma" w:hAnsi="Tahoma" w:cs="Tahoma"/>
                <w:sz w:val="18"/>
                <w:szCs w:val="18"/>
              </w:rPr>
            </w:pPr>
            <w:r>
              <w:rPr>
                <w:rFonts w:ascii="Tahoma" w:hAnsi="Tahoma" w:cs="Tahoma"/>
                <w:sz w:val="18"/>
                <w:szCs w:val="18"/>
              </w:rPr>
              <w:t>Προθεσμιακές καταθέσεις</w:t>
            </w:r>
          </w:p>
        </w:tc>
        <w:tc>
          <w:tcPr>
            <w:tcW w:w="2896" w:type="dxa"/>
            <w:tcBorders>
              <w:top w:val="nil"/>
              <w:left w:val="nil"/>
              <w:bottom w:val="single" w:sz="4" w:space="0" w:color="auto"/>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298.843,31</w:t>
            </w:r>
          </w:p>
        </w:tc>
        <w:tc>
          <w:tcPr>
            <w:tcW w:w="3276" w:type="dxa"/>
            <w:tcBorders>
              <w:top w:val="nil"/>
              <w:left w:val="nil"/>
              <w:bottom w:val="single" w:sz="4" w:space="0" w:color="auto"/>
              <w:right w:val="nil"/>
            </w:tcBorders>
            <w:shd w:val="clear" w:color="auto" w:fill="auto"/>
            <w:noWrap/>
            <w:vAlign w:val="bottom"/>
            <w:hideMark/>
          </w:tcPr>
          <w:p w:rsidR="000F032F" w:rsidRDefault="000F032F">
            <w:pPr>
              <w:jc w:val="right"/>
              <w:rPr>
                <w:rFonts w:ascii="Tahoma" w:hAnsi="Tahoma" w:cs="Tahoma"/>
                <w:sz w:val="18"/>
                <w:szCs w:val="18"/>
              </w:rPr>
            </w:pPr>
            <w:r>
              <w:rPr>
                <w:rFonts w:ascii="Tahoma" w:hAnsi="Tahoma" w:cs="Tahoma"/>
                <w:sz w:val="18"/>
                <w:szCs w:val="18"/>
              </w:rPr>
              <w:t>298.843,31</w:t>
            </w:r>
          </w:p>
        </w:tc>
      </w:tr>
      <w:tr w:rsidR="000F032F" w:rsidTr="000F032F">
        <w:trPr>
          <w:trHeight w:val="360"/>
        </w:trPr>
        <w:tc>
          <w:tcPr>
            <w:tcW w:w="3176" w:type="dxa"/>
            <w:tcBorders>
              <w:top w:val="nil"/>
              <w:left w:val="nil"/>
              <w:bottom w:val="nil"/>
              <w:right w:val="nil"/>
            </w:tcBorders>
            <w:shd w:val="clear" w:color="auto" w:fill="auto"/>
            <w:noWrap/>
            <w:vAlign w:val="bottom"/>
            <w:hideMark/>
          </w:tcPr>
          <w:p w:rsidR="000F032F" w:rsidRDefault="000F032F">
            <w:pPr>
              <w:rPr>
                <w:rFonts w:ascii="Tahoma" w:hAnsi="Tahoma" w:cs="Tahoma"/>
                <w:b/>
                <w:bCs/>
                <w:sz w:val="18"/>
                <w:szCs w:val="18"/>
              </w:rPr>
            </w:pPr>
            <w:r>
              <w:rPr>
                <w:rFonts w:ascii="Tahoma" w:hAnsi="Tahoma" w:cs="Tahoma"/>
                <w:b/>
                <w:bCs/>
                <w:sz w:val="18"/>
                <w:szCs w:val="18"/>
              </w:rPr>
              <w:t>Σύνολα</w:t>
            </w:r>
          </w:p>
        </w:tc>
        <w:tc>
          <w:tcPr>
            <w:tcW w:w="2896" w:type="dxa"/>
            <w:tcBorders>
              <w:top w:val="nil"/>
              <w:left w:val="nil"/>
              <w:bottom w:val="double" w:sz="6"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1.110.951,55</w:t>
            </w:r>
          </w:p>
        </w:tc>
        <w:tc>
          <w:tcPr>
            <w:tcW w:w="3276" w:type="dxa"/>
            <w:tcBorders>
              <w:top w:val="nil"/>
              <w:left w:val="nil"/>
              <w:bottom w:val="double" w:sz="6" w:space="0" w:color="auto"/>
              <w:right w:val="nil"/>
            </w:tcBorders>
            <w:shd w:val="clear" w:color="auto" w:fill="auto"/>
            <w:noWrap/>
            <w:vAlign w:val="bottom"/>
            <w:hideMark/>
          </w:tcPr>
          <w:p w:rsidR="000F032F" w:rsidRDefault="000F032F">
            <w:pPr>
              <w:jc w:val="right"/>
              <w:rPr>
                <w:rFonts w:ascii="Tahoma" w:hAnsi="Tahoma" w:cs="Tahoma"/>
                <w:b/>
                <w:bCs/>
                <w:sz w:val="18"/>
                <w:szCs w:val="18"/>
              </w:rPr>
            </w:pPr>
            <w:r>
              <w:rPr>
                <w:rFonts w:ascii="Tahoma" w:hAnsi="Tahoma" w:cs="Tahoma"/>
                <w:b/>
                <w:bCs/>
                <w:sz w:val="18"/>
                <w:szCs w:val="18"/>
              </w:rPr>
              <w:t>867.468,74</w:t>
            </w:r>
          </w:p>
        </w:tc>
      </w:tr>
    </w:tbl>
    <w:p w:rsidR="00480197" w:rsidRDefault="00480197" w:rsidP="00705972">
      <w:pPr>
        <w:ind w:left="-709"/>
        <w:jc w:val="both"/>
        <w:rPr>
          <w:rFonts w:ascii="Tahoma" w:hAnsi="Tahoma" w:cs="Tahoma"/>
          <w:sz w:val="22"/>
          <w:szCs w:val="22"/>
          <w:lang w:val="en-US"/>
        </w:rPr>
      </w:pPr>
    </w:p>
    <w:p w:rsidR="000F032F" w:rsidRDefault="000F032F" w:rsidP="00705972">
      <w:pPr>
        <w:ind w:left="-709"/>
        <w:jc w:val="both"/>
        <w:rPr>
          <w:rFonts w:ascii="Tahoma" w:hAnsi="Tahoma" w:cs="Tahoma"/>
          <w:sz w:val="22"/>
          <w:szCs w:val="22"/>
          <w:lang w:val="en-US"/>
        </w:rPr>
      </w:pPr>
    </w:p>
    <w:p w:rsidR="000F032F" w:rsidRPr="00485A4C" w:rsidRDefault="000F032F" w:rsidP="00705972">
      <w:pPr>
        <w:ind w:left="-709"/>
        <w:jc w:val="both"/>
        <w:rPr>
          <w:rFonts w:ascii="Tahoma" w:hAnsi="Tahoma" w:cs="Tahoma"/>
          <w:sz w:val="22"/>
          <w:szCs w:val="22"/>
        </w:rPr>
      </w:pPr>
    </w:p>
    <w:p w:rsidR="006A220C" w:rsidRPr="00485A4C" w:rsidRDefault="00480197" w:rsidP="006A220C">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Τα ταμιακά διαθέσιμα και ισοδύναμα αυτών, αντιπροσωπεύου</w:t>
      </w:r>
      <w:r w:rsidR="005C57F9" w:rsidRPr="00485A4C">
        <w:rPr>
          <w:rFonts w:ascii="Tahoma" w:hAnsi="Tahoma" w:cs="Tahoma"/>
          <w:sz w:val="22"/>
          <w:szCs w:val="22"/>
        </w:rPr>
        <w:t xml:space="preserve">ν μετρητά στο ταμείο </w:t>
      </w:r>
      <w:r w:rsidR="00BE65F3" w:rsidRPr="00485A4C">
        <w:rPr>
          <w:rFonts w:ascii="Tahoma" w:hAnsi="Tahoma" w:cs="Tahoma"/>
          <w:sz w:val="22"/>
          <w:szCs w:val="22"/>
        </w:rPr>
        <w:t>της εταιρείας</w:t>
      </w:r>
      <w:r w:rsidR="005C57F9" w:rsidRPr="00485A4C">
        <w:rPr>
          <w:rFonts w:ascii="Tahoma" w:hAnsi="Tahoma" w:cs="Tahoma"/>
          <w:sz w:val="22"/>
          <w:szCs w:val="22"/>
        </w:rPr>
        <w:t xml:space="preserve">, </w:t>
      </w:r>
      <w:r w:rsidR="006A220C" w:rsidRPr="00485A4C">
        <w:rPr>
          <w:rFonts w:ascii="Tahoma" w:hAnsi="Tahoma" w:cs="Tahoma"/>
          <w:sz w:val="22"/>
          <w:szCs w:val="22"/>
        </w:rPr>
        <w:t xml:space="preserve">τραπεζικές καταθέσεις σε λογαριασμούς Όψεως και προθεσμιακές καταθέσεις στο νόμισμα του ευρώ (€), διαθέσιμες σε πρώτη ζήτηση. Οι λογαριασμοί όψεως είναι στο σύνολό τους άτοκοι καθώς εξυπηρετούν ανάγκες εξυπηρέτησης επιταγών. </w:t>
      </w:r>
    </w:p>
    <w:p w:rsidR="00480197" w:rsidRPr="00485A4C" w:rsidRDefault="006A220C" w:rsidP="006A220C">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Οι προθεσμιακές καταθέσεις αφορούν περιόδους έως τρίμηνης διάρκειας με ετήσιο επιτόκιο 2,50% περίπου.</w:t>
      </w:r>
      <w:r w:rsidR="00926485" w:rsidRPr="00485A4C">
        <w:rPr>
          <w:rFonts w:ascii="Tahoma" w:hAnsi="Tahoma" w:cs="Tahoma"/>
          <w:sz w:val="22"/>
          <w:szCs w:val="22"/>
        </w:rPr>
        <w:t xml:space="preserve"> </w:t>
      </w:r>
    </w:p>
    <w:p w:rsidR="00D12271" w:rsidRPr="00485A4C" w:rsidRDefault="00D12271" w:rsidP="00480197">
      <w:pPr>
        <w:jc w:val="both"/>
        <w:rPr>
          <w:rFonts w:ascii="Tahoma" w:hAnsi="Tahoma" w:cs="Tahoma"/>
          <w:sz w:val="22"/>
          <w:szCs w:val="22"/>
          <w:highlight w:val="red"/>
        </w:rPr>
      </w:pPr>
    </w:p>
    <w:p w:rsidR="00480197" w:rsidRPr="00485A4C" w:rsidRDefault="0020008D" w:rsidP="00480197">
      <w:pPr>
        <w:pStyle w:val="Heading2"/>
        <w:spacing w:before="0" w:after="0" w:line="360" w:lineRule="auto"/>
        <w:ind w:left="-539"/>
        <w:rPr>
          <w:rFonts w:ascii="Tahoma" w:hAnsi="Tahoma" w:cs="Tahoma"/>
          <w:i w:val="0"/>
          <w:sz w:val="22"/>
          <w:szCs w:val="22"/>
        </w:rPr>
      </w:pPr>
      <w:bookmarkStart w:id="38" w:name="_Toc178753439"/>
      <w:bookmarkStart w:id="39" w:name="_Toc526260609"/>
      <w:r w:rsidRPr="00485A4C">
        <w:rPr>
          <w:rFonts w:ascii="Tahoma" w:hAnsi="Tahoma" w:cs="Tahoma"/>
          <w:i w:val="0"/>
          <w:sz w:val="22"/>
          <w:szCs w:val="22"/>
        </w:rPr>
        <w:t>7</w:t>
      </w:r>
      <w:r w:rsidR="00480197" w:rsidRPr="00485A4C">
        <w:rPr>
          <w:rFonts w:ascii="Tahoma" w:hAnsi="Tahoma" w:cs="Tahoma"/>
          <w:i w:val="0"/>
          <w:sz w:val="22"/>
          <w:szCs w:val="22"/>
        </w:rPr>
        <w:t>.</w:t>
      </w:r>
      <w:r w:rsidR="00BE65F3" w:rsidRPr="00485A4C">
        <w:rPr>
          <w:rFonts w:ascii="Tahoma" w:hAnsi="Tahoma" w:cs="Tahoma"/>
          <w:i w:val="0"/>
          <w:sz w:val="22"/>
          <w:szCs w:val="22"/>
        </w:rPr>
        <w:t>8</w:t>
      </w:r>
      <w:r w:rsidR="00480197" w:rsidRPr="00485A4C">
        <w:rPr>
          <w:rFonts w:ascii="Tahoma" w:hAnsi="Tahoma" w:cs="Tahoma"/>
          <w:i w:val="0"/>
          <w:sz w:val="22"/>
          <w:szCs w:val="22"/>
        </w:rPr>
        <w:t>. Μετ</w:t>
      </w:r>
      <w:r w:rsidR="00A21C6B" w:rsidRPr="00485A4C">
        <w:rPr>
          <w:rFonts w:ascii="Tahoma" w:hAnsi="Tahoma" w:cs="Tahoma"/>
          <w:i w:val="0"/>
          <w:sz w:val="22"/>
          <w:szCs w:val="22"/>
        </w:rPr>
        <w:t>οχικό κεφάλαιο</w:t>
      </w:r>
      <w:bookmarkEnd w:id="38"/>
      <w:bookmarkEnd w:id="39"/>
    </w:p>
    <w:p w:rsidR="00480197" w:rsidRDefault="00480197" w:rsidP="00480197">
      <w:pPr>
        <w:spacing w:line="360" w:lineRule="auto"/>
        <w:ind w:left="-539"/>
        <w:rPr>
          <w:rFonts w:ascii="Tahoma" w:hAnsi="Tahoma" w:cs="Tahoma"/>
          <w:sz w:val="22"/>
          <w:szCs w:val="22"/>
        </w:rPr>
      </w:pPr>
      <w:r w:rsidRPr="00485A4C">
        <w:rPr>
          <w:rFonts w:ascii="Tahoma" w:hAnsi="Tahoma" w:cs="Tahoma"/>
          <w:sz w:val="22"/>
          <w:szCs w:val="22"/>
        </w:rPr>
        <w:t>Κατωτέρω παρουσιάζεται πίνακας με τα υπόλοιπα του μετοχικού κεφαλαίου.</w:t>
      </w:r>
    </w:p>
    <w:p w:rsidR="005E7EDE" w:rsidRPr="00485A4C" w:rsidRDefault="005E7EDE" w:rsidP="00480197">
      <w:pPr>
        <w:spacing w:line="360" w:lineRule="auto"/>
        <w:ind w:left="-539"/>
        <w:rPr>
          <w:rFonts w:ascii="Tahoma" w:hAnsi="Tahoma" w:cs="Tahoma"/>
          <w:sz w:val="22"/>
          <w:szCs w:val="22"/>
        </w:rPr>
      </w:pPr>
    </w:p>
    <w:tbl>
      <w:tblPr>
        <w:tblW w:w="8354" w:type="dxa"/>
        <w:tblInd w:w="-318" w:type="dxa"/>
        <w:tblLook w:val="0000" w:firstRow="0" w:lastRow="0" w:firstColumn="0" w:lastColumn="0" w:noHBand="0" w:noVBand="0"/>
      </w:tblPr>
      <w:tblGrid>
        <w:gridCol w:w="2700"/>
        <w:gridCol w:w="1620"/>
        <w:gridCol w:w="236"/>
        <w:gridCol w:w="1800"/>
        <w:gridCol w:w="236"/>
        <w:gridCol w:w="1762"/>
      </w:tblGrid>
      <w:tr w:rsidR="00480197" w:rsidRPr="00485A4C">
        <w:trPr>
          <w:trHeight w:val="58"/>
        </w:trPr>
        <w:tc>
          <w:tcPr>
            <w:tcW w:w="2700" w:type="dxa"/>
            <w:tcBorders>
              <w:top w:val="nil"/>
              <w:left w:val="nil"/>
              <w:right w:val="nil"/>
            </w:tcBorders>
            <w:shd w:val="clear" w:color="auto" w:fill="E6E6E6"/>
            <w:noWrap/>
            <w:vAlign w:val="bottom"/>
          </w:tcPr>
          <w:p w:rsidR="00480197" w:rsidRPr="00485A4C" w:rsidRDefault="00480197" w:rsidP="00135119">
            <w:pPr>
              <w:rPr>
                <w:rFonts w:ascii="Tahoma" w:hAnsi="Tahoma" w:cs="Tahoma"/>
                <w:b/>
                <w:bCs/>
                <w:sz w:val="22"/>
                <w:szCs w:val="22"/>
              </w:rPr>
            </w:pPr>
          </w:p>
        </w:tc>
        <w:tc>
          <w:tcPr>
            <w:tcW w:w="3656" w:type="dxa"/>
            <w:gridSpan w:val="3"/>
            <w:tcBorders>
              <w:top w:val="nil"/>
              <w:left w:val="nil"/>
              <w:right w:val="nil"/>
            </w:tcBorders>
            <w:shd w:val="clear" w:color="auto" w:fill="E6E6E6"/>
            <w:vAlign w:val="bottom"/>
          </w:tcPr>
          <w:p w:rsidR="00480197" w:rsidRPr="00485A4C" w:rsidRDefault="00480197" w:rsidP="00135119">
            <w:pPr>
              <w:jc w:val="center"/>
              <w:rPr>
                <w:rFonts w:ascii="Tahoma" w:hAnsi="Tahoma" w:cs="Tahoma"/>
                <w:sz w:val="22"/>
                <w:szCs w:val="22"/>
                <w:u w:val="single"/>
              </w:rPr>
            </w:pPr>
            <w:r w:rsidRPr="00485A4C">
              <w:rPr>
                <w:rFonts w:ascii="Tahoma" w:hAnsi="Tahoma" w:cs="Tahoma"/>
                <w:b/>
                <w:bCs/>
                <w:sz w:val="22"/>
                <w:szCs w:val="22"/>
                <w:u w:val="single"/>
              </w:rPr>
              <w:t>Μετοχικό Κεφάλαιο</w:t>
            </w:r>
          </w:p>
        </w:tc>
        <w:tc>
          <w:tcPr>
            <w:tcW w:w="236" w:type="dxa"/>
            <w:tcBorders>
              <w:top w:val="nil"/>
              <w:left w:val="nil"/>
              <w:right w:val="nil"/>
            </w:tcBorders>
            <w:shd w:val="clear" w:color="auto" w:fill="E6E6E6"/>
            <w:noWrap/>
            <w:vAlign w:val="bottom"/>
          </w:tcPr>
          <w:p w:rsidR="00480197" w:rsidRPr="00485A4C" w:rsidRDefault="00480197" w:rsidP="00135119">
            <w:pPr>
              <w:jc w:val="center"/>
              <w:rPr>
                <w:rFonts w:ascii="Tahoma" w:hAnsi="Tahoma" w:cs="Tahoma"/>
                <w:b/>
                <w:bCs/>
                <w:sz w:val="22"/>
                <w:szCs w:val="22"/>
              </w:rPr>
            </w:pPr>
          </w:p>
        </w:tc>
        <w:tc>
          <w:tcPr>
            <w:tcW w:w="1762" w:type="dxa"/>
            <w:vMerge w:val="restart"/>
            <w:tcBorders>
              <w:top w:val="nil"/>
              <w:left w:val="nil"/>
              <w:right w:val="nil"/>
            </w:tcBorders>
            <w:shd w:val="clear" w:color="auto" w:fill="E6E6E6"/>
            <w:noWrap/>
            <w:vAlign w:val="center"/>
          </w:tcPr>
          <w:p w:rsidR="00480197" w:rsidRPr="00485A4C" w:rsidRDefault="00480197" w:rsidP="00135119">
            <w:pPr>
              <w:jc w:val="center"/>
              <w:rPr>
                <w:rFonts w:ascii="Tahoma" w:hAnsi="Tahoma" w:cs="Tahoma"/>
                <w:b/>
                <w:bCs/>
                <w:sz w:val="22"/>
                <w:szCs w:val="22"/>
                <w:u w:val="single"/>
              </w:rPr>
            </w:pPr>
            <w:r w:rsidRPr="00485A4C">
              <w:rPr>
                <w:rFonts w:ascii="Tahoma" w:hAnsi="Tahoma" w:cs="Tahoma"/>
                <w:b/>
                <w:bCs/>
                <w:sz w:val="22"/>
                <w:szCs w:val="22"/>
                <w:u w:val="single"/>
              </w:rPr>
              <w:t>Υπέρ το Άρτιο</w:t>
            </w:r>
          </w:p>
        </w:tc>
      </w:tr>
      <w:tr w:rsidR="00480197" w:rsidRPr="00485A4C">
        <w:trPr>
          <w:trHeight w:val="58"/>
        </w:trPr>
        <w:tc>
          <w:tcPr>
            <w:tcW w:w="2700" w:type="dxa"/>
            <w:tcBorders>
              <w:top w:val="nil"/>
              <w:left w:val="nil"/>
              <w:bottom w:val="nil"/>
              <w:right w:val="nil"/>
            </w:tcBorders>
            <w:shd w:val="clear" w:color="auto" w:fill="E6E6E6"/>
            <w:noWrap/>
            <w:vAlign w:val="bottom"/>
          </w:tcPr>
          <w:p w:rsidR="00480197" w:rsidRPr="00485A4C" w:rsidRDefault="00480197" w:rsidP="00135119">
            <w:pPr>
              <w:rPr>
                <w:rFonts w:ascii="Tahoma" w:hAnsi="Tahoma" w:cs="Tahoma"/>
                <w:b/>
                <w:bCs/>
                <w:sz w:val="22"/>
                <w:szCs w:val="22"/>
              </w:rPr>
            </w:pPr>
          </w:p>
        </w:tc>
        <w:tc>
          <w:tcPr>
            <w:tcW w:w="1620" w:type="dxa"/>
            <w:tcBorders>
              <w:top w:val="nil"/>
              <w:left w:val="nil"/>
              <w:bottom w:val="nil"/>
              <w:right w:val="nil"/>
            </w:tcBorders>
            <w:shd w:val="clear" w:color="auto" w:fill="E6E6E6"/>
            <w:vAlign w:val="bottom"/>
          </w:tcPr>
          <w:p w:rsidR="00480197" w:rsidRPr="00485A4C" w:rsidRDefault="00480197" w:rsidP="00135119">
            <w:pPr>
              <w:jc w:val="center"/>
              <w:rPr>
                <w:rFonts w:ascii="Tahoma" w:hAnsi="Tahoma" w:cs="Tahoma"/>
                <w:b/>
                <w:bCs/>
                <w:sz w:val="22"/>
                <w:szCs w:val="22"/>
              </w:rPr>
            </w:pPr>
            <w:r w:rsidRPr="00485A4C">
              <w:rPr>
                <w:rFonts w:ascii="Tahoma" w:hAnsi="Tahoma" w:cs="Tahoma"/>
                <w:b/>
                <w:bCs/>
                <w:sz w:val="22"/>
                <w:szCs w:val="22"/>
              </w:rPr>
              <w:t>Αριθμός</w:t>
            </w:r>
          </w:p>
        </w:tc>
        <w:tc>
          <w:tcPr>
            <w:tcW w:w="236" w:type="dxa"/>
            <w:tcBorders>
              <w:top w:val="nil"/>
              <w:left w:val="nil"/>
              <w:bottom w:val="nil"/>
              <w:right w:val="nil"/>
            </w:tcBorders>
            <w:shd w:val="clear" w:color="auto" w:fill="E6E6E6"/>
          </w:tcPr>
          <w:p w:rsidR="00480197" w:rsidRPr="00485A4C" w:rsidRDefault="00480197" w:rsidP="00135119">
            <w:pPr>
              <w:rPr>
                <w:rFonts w:ascii="Tahoma" w:hAnsi="Tahoma" w:cs="Tahoma"/>
                <w:b/>
                <w:bCs/>
                <w:sz w:val="22"/>
                <w:szCs w:val="22"/>
              </w:rPr>
            </w:pPr>
          </w:p>
        </w:tc>
        <w:tc>
          <w:tcPr>
            <w:tcW w:w="1800" w:type="dxa"/>
            <w:tcBorders>
              <w:top w:val="nil"/>
              <w:left w:val="nil"/>
              <w:bottom w:val="nil"/>
              <w:right w:val="nil"/>
            </w:tcBorders>
            <w:shd w:val="clear" w:color="auto" w:fill="E6E6E6"/>
            <w:vAlign w:val="bottom"/>
          </w:tcPr>
          <w:p w:rsidR="00480197" w:rsidRPr="00485A4C" w:rsidRDefault="00480197" w:rsidP="00135119">
            <w:pPr>
              <w:jc w:val="center"/>
              <w:rPr>
                <w:rFonts w:ascii="Tahoma" w:hAnsi="Tahoma" w:cs="Tahoma"/>
                <w:b/>
                <w:bCs/>
                <w:sz w:val="22"/>
                <w:szCs w:val="22"/>
              </w:rPr>
            </w:pPr>
            <w:r w:rsidRPr="00485A4C">
              <w:rPr>
                <w:rFonts w:ascii="Tahoma" w:hAnsi="Tahoma" w:cs="Tahoma"/>
                <w:b/>
                <w:bCs/>
                <w:sz w:val="22"/>
                <w:szCs w:val="22"/>
              </w:rPr>
              <w:t>Αξία Μετοχικού</w:t>
            </w:r>
          </w:p>
        </w:tc>
        <w:tc>
          <w:tcPr>
            <w:tcW w:w="236" w:type="dxa"/>
            <w:tcBorders>
              <w:top w:val="nil"/>
              <w:left w:val="nil"/>
              <w:bottom w:val="nil"/>
              <w:right w:val="nil"/>
            </w:tcBorders>
            <w:shd w:val="clear" w:color="auto" w:fill="E6E6E6"/>
            <w:noWrap/>
            <w:vAlign w:val="bottom"/>
          </w:tcPr>
          <w:p w:rsidR="00480197" w:rsidRPr="00485A4C" w:rsidRDefault="00480197" w:rsidP="00135119">
            <w:pPr>
              <w:jc w:val="center"/>
              <w:rPr>
                <w:rFonts w:ascii="Tahoma" w:hAnsi="Tahoma" w:cs="Tahoma"/>
                <w:b/>
                <w:bCs/>
                <w:sz w:val="22"/>
                <w:szCs w:val="22"/>
              </w:rPr>
            </w:pPr>
          </w:p>
        </w:tc>
        <w:tc>
          <w:tcPr>
            <w:tcW w:w="1762" w:type="dxa"/>
            <w:vMerge/>
            <w:tcBorders>
              <w:left w:val="nil"/>
              <w:right w:val="nil"/>
            </w:tcBorders>
            <w:shd w:val="clear" w:color="auto" w:fill="E6E6E6"/>
            <w:noWrap/>
            <w:vAlign w:val="bottom"/>
          </w:tcPr>
          <w:p w:rsidR="00480197" w:rsidRPr="00485A4C" w:rsidRDefault="00480197" w:rsidP="00135119">
            <w:pPr>
              <w:jc w:val="center"/>
              <w:rPr>
                <w:rFonts w:ascii="Tahoma" w:hAnsi="Tahoma" w:cs="Tahoma"/>
                <w:b/>
                <w:bCs/>
                <w:sz w:val="22"/>
                <w:szCs w:val="22"/>
              </w:rPr>
            </w:pPr>
          </w:p>
        </w:tc>
      </w:tr>
      <w:tr w:rsidR="00480197" w:rsidRPr="00485A4C">
        <w:trPr>
          <w:trHeight w:val="281"/>
        </w:trPr>
        <w:tc>
          <w:tcPr>
            <w:tcW w:w="2700" w:type="dxa"/>
            <w:tcBorders>
              <w:top w:val="nil"/>
              <w:left w:val="nil"/>
              <w:bottom w:val="nil"/>
              <w:right w:val="nil"/>
            </w:tcBorders>
            <w:shd w:val="clear" w:color="auto" w:fill="E6E6E6"/>
            <w:noWrap/>
            <w:vAlign w:val="bottom"/>
          </w:tcPr>
          <w:p w:rsidR="00480197" w:rsidRPr="00485A4C" w:rsidRDefault="00480197" w:rsidP="00135119">
            <w:pPr>
              <w:rPr>
                <w:rFonts w:ascii="Tahoma" w:hAnsi="Tahoma" w:cs="Tahoma"/>
                <w:b/>
                <w:bCs/>
                <w:sz w:val="22"/>
                <w:szCs w:val="22"/>
              </w:rPr>
            </w:pPr>
            <w:r w:rsidRPr="00485A4C">
              <w:rPr>
                <w:rFonts w:ascii="Tahoma" w:hAnsi="Tahoma" w:cs="Tahoma"/>
                <w:b/>
                <w:bCs/>
                <w:sz w:val="22"/>
                <w:szCs w:val="22"/>
              </w:rPr>
              <w:t>Χρονική περίοδος</w:t>
            </w:r>
          </w:p>
        </w:tc>
        <w:tc>
          <w:tcPr>
            <w:tcW w:w="1620" w:type="dxa"/>
            <w:tcBorders>
              <w:top w:val="nil"/>
              <w:left w:val="nil"/>
              <w:bottom w:val="nil"/>
              <w:right w:val="nil"/>
            </w:tcBorders>
            <w:shd w:val="clear" w:color="auto" w:fill="E6E6E6"/>
            <w:vAlign w:val="bottom"/>
          </w:tcPr>
          <w:p w:rsidR="00480197" w:rsidRPr="00485A4C" w:rsidRDefault="00480197" w:rsidP="00135119">
            <w:pPr>
              <w:jc w:val="center"/>
              <w:rPr>
                <w:rFonts w:ascii="Tahoma" w:hAnsi="Tahoma" w:cs="Tahoma"/>
                <w:b/>
                <w:bCs/>
                <w:sz w:val="22"/>
                <w:szCs w:val="22"/>
                <w:u w:val="single"/>
              </w:rPr>
            </w:pPr>
            <w:r w:rsidRPr="00485A4C">
              <w:rPr>
                <w:rFonts w:ascii="Tahoma" w:hAnsi="Tahoma" w:cs="Tahoma"/>
                <w:b/>
                <w:bCs/>
                <w:sz w:val="22"/>
                <w:szCs w:val="22"/>
                <w:u w:val="single"/>
              </w:rPr>
              <w:t>κοινών μετοχών</w:t>
            </w:r>
          </w:p>
        </w:tc>
        <w:tc>
          <w:tcPr>
            <w:tcW w:w="236" w:type="dxa"/>
            <w:tcBorders>
              <w:top w:val="nil"/>
              <w:left w:val="nil"/>
              <w:bottom w:val="nil"/>
              <w:right w:val="nil"/>
            </w:tcBorders>
            <w:shd w:val="clear" w:color="auto" w:fill="E6E6E6"/>
          </w:tcPr>
          <w:p w:rsidR="00480197" w:rsidRPr="00485A4C" w:rsidRDefault="00480197" w:rsidP="00135119">
            <w:pPr>
              <w:rPr>
                <w:rFonts w:ascii="Tahoma" w:hAnsi="Tahoma" w:cs="Tahoma"/>
                <w:b/>
                <w:bCs/>
                <w:sz w:val="22"/>
                <w:szCs w:val="22"/>
              </w:rPr>
            </w:pPr>
          </w:p>
        </w:tc>
        <w:tc>
          <w:tcPr>
            <w:tcW w:w="1800" w:type="dxa"/>
            <w:tcBorders>
              <w:top w:val="nil"/>
              <w:left w:val="nil"/>
              <w:bottom w:val="nil"/>
              <w:right w:val="nil"/>
            </w:tcBorders>
            <w:shd w:val="clear" w:color="auto" w:fill="E6E6E6"/>
            <w:vAlign w:val="bottom"/>
          </w:tcPr>
          <w:p w:rsidR="00480197" w:rsidRPr="00485A4C" w:rsidRDefault="00480197" w:rsidP="00135119">
            <w:pPr>
              <w:jc w:val="center"/>
              <w:rPr>
                <w:rFonts w:ascii="Tahoma" w:hAnsi="Tahoma" w:cs="Tahoma"/>
                <w:b/>
                <w:bCs/>
                <w:sz w:val="22"/>
                <w:szCs w:val="22"/>
                <w:u w:val="single"/>
              </w:rPr>
            </w:pPr>
            <w:r w:rsidRPr="00485A4C">
              <w:rPr>
                <w:rFonts w:ascii="Tahoma" w:hAnsi="Tahoma" w:cs="Tahoma"/>
                <w:b/>
                <w:bCs/>
                <w:sz w:val="22"/>
                <w:szCs w:val="22"/>
                <w:u w:val="single"/>
              </w:rPr>
              <w:t>Κεφαλαίου</w:t>
            </w:r>
          </w:p>
        </w:tc>
        <w:tc>
          <w:tcPr>
            <w:tcW w:w="236" w:type="dxa"/>
            <w:tcBorders>
              <w:top w:val="nil"/>
              <w:left w:val="nil"/>
              <w:bottom w:val="nil"/>
              <w:right w:val="nil"/>
            </w:tcBorders>
            <w:shd w:val="clear" w:color="auto" w:fill="E6E6E6"/>
            <w:noWrap/>
            <w:vAlign w:val="bottom"/>
          </w:tcPr>
          <w:p w:rsidR="00480197" w:rsidRPr="00485A4C" w:rsidRDefault="00480197" w:rsidP="00135119">
            <w:pPr>
              <w:jc w:val="center"/>
              <w:rPr>
                <w:rFonts w:ascii="Tahoma" w:hAnsi="Tahoma" w:cs="Tahoma"/>
                <w:b/>
                <w:bCs/>
                <w:sz w:val="22"/>
                <w:szCs w:val="22"/>
                <w:u w:val="single"/>
              </w:rPr>
            </w:pPr>
          </w:p>
        </w:tc>
        <w:tc>
          <w:tcPr>
            <w:tcW w:w="1762" w:type="dxa"/>
            <w:vMerge/>
            <w:tcBorders>
              <w:left w:val="nil"/>
              <w:bottom w:val="nil"/>
              <w:right w:val="nil"/>
            </w:tcBorders>
            <w:shd w:val="clear" w:color="auto" w:fill="E6E6E6"/>
            <w:noWrap/>
            <w:vAlign w:val="bottom"/>
          </w:tcPr>
          <w:p w:rsidR="00480197" w:rsidRPr="00485A4C" w:rsidRDefault="00480197" w:rsidP="00135119">
            <w:pPr>
              <w:jc w:val="center"/>
              <w:rPr>
                <w:rFonts w:ascii="Tahoma" w:hAnsi="Tahoma" w:cs="Tahoma"/>
                <w:b/>
                <w:bCs/>
                <w:sz w:val="22"/>
                <w:szCs w:val="22"/>
                <w:u w:val="single"/>
              </w:rPr>
            </w:pPr>
          </w:p>
        </w:tc>
      </w:tr>
      <w:tr w:rsidR="002B51BC" w:rsidRPr="00485A4C">
        <w:trPr>
          <w:trHeight w:val="281"/>
        </w:trPr>
        <w:tc>
          <w:tcPr>
            <w:tcW w:w="2700" w:type="dxa"/>
            <w:tcBorders>
              <w:top w:val="nil"/>
              <w:left w:val="nil"/>
              <w:bottom w:val="nil"/>
              <w:right w:val="nil"/>
            </w:tcBorders>
            <w:shd w:val="clear" w:color="auto" w:fill="auto"/>
            <w:noWrap/>
            <w:vAlign w:val="bottom"/>
          </w:tcPr>
          <w:p w:rsidR="002B51BC" w:rsidRPr="005E7EDE" w:rsidRDefault="002B51BC" w:rsidP="002D0D37">
            <w:pPr>
              <w:spacing w:before="60"/>
              <w:rPr>
                <w:rFonts w:ascii="Tahoma" w:hAnsi="Tahoma" w:cs="Tahoma"/>
                <w:sz w:val="22"/>
                <w:szCs w:val="22"/>
              </w:rPr>
            </w:pPr>
            <w:r w:rsidRPr="00485A4C">
              <w:rPr>
                <w:rFonts w:ascii="Tahoma" w:hAnsi="Tahoma" w:cs="Tahoma"/>
                <w:sz w:val="22"/>
                <w:szCs w:val="22"/>
              </w:rPr>
              <w:t>3</w:t>
            </w:r>
            <w:r w:rsidR="0031691B" w:rsidRPr="00485A4C">
              <w:rPr>
                <w:rFonts w:ascii="Tahoma" w:hAnsi="Tahoma" w:cs="Tahoma"/>
                <w:sz w:val="22"/>
                <w:szCs w:val="22"/>
              </w:rPr>
              <w:t>1</w:t>
            </w:r>
            <w:r w:rsidRPr="00485A4C">
              <w:rPr>
                <w:rFonts w:ascii="Tahoma" w:hAnsi="Tahoma" w:cs="Tahoma"/>
                <w:sz w:val="22"/>
                <w:szCs w:val="22"/>
              </w:rPr>
              <w:t xml:space="preserve"> </w:t>
            </w:r>
            <w:r w:rsidR="0031691B" w:rsidRPr="00485A4C">
              <w:rPr>
                <w:rFonts w:ascii="Tahoma" w:hAnsi="Tahoma" w:cs="Tahoma"/>
                <w:sz w:val="22"/>
                <w:szCs w:val="22"/>
              </w:rPr>
              <w:t>Δεκεμβρίου</w:t>
            </w:r>
            <w:r w:rsidRPr="00485A4C">
              <w:rPr>
                <w:rFonts w:ascii="Tahoma" w:hAnsi="Tahoma" w:cs="Tahoma"/>
                <w:sz w:val="22"/>
                <w:szCs w:val="22"/>
              </w:rPr>
              <w:t xml:space="preserve"> 20</w:t>
            </w:r>
            <w:r w:rsidRPr="00485A4C">
              <w:rPr>
                <w:rFonts w:ascii="Tahoma" w:hAnsi="Tahoma" w:cs="Tahoma"/>
                <w:sz w:val="22"/>
                <w:szCs w:val="22"/>
                <w:lang w:val="en-US"/>
              </w:rPr>
              <w:t>1</w:t>
            </w:r>
            <w:r w:rsidR="005E7EDE">
              <w:rPr>
                <w:rFonts w:ascii="Tahoma" w:hAnsi="Tahoma" w:cs="Tahoma"/>
                <w:sz w:val="22"/>
                <w:szCs w:val="22"/>
              </w:rPr>
              <w:t>7</w:t>
            </w:r>
          </w:p>
        </w:tc>
        <w:tc>
          <w:tcPr>
            <w:tcW w:w="1620" w:type="dxa"/>
            <w:tcBorders>
              <w:top w:val="nil"/>
              <w:left w:val="nil"/>
              <w:bottom w:val="nil"/>
              <w:right w:val="nil"/>
            </w:tcBorders>
            <w:vAlign w:val="bottom"/>
          </w:tcPr>
          <w:p w:rsidR="002B51BC" w:rsidRPr="00485A4C" w:rsidRDefault="006A220C" w:rsidP="00526301">
            <w:pPr>
              <w:spacing w:before="60"/>
              <w:jc w:val="center"/>
              <w:rPr>
                <w:rFonts w:ascii="Tahoma" w:hAnsi="Tahoma" w:cs="Tahoma"/>
                <w:sz w:val="22"/>
                <w:szCs w:val="22"/>
              </w:rPr>
            </w:pPr>
            <w:r w:rsidRPr="00485A4C">
              <w:rPr>
                <w:rFonts w:ascii="Tahoma" w:hAnsi="Tahoma" w:cs="Tahoma"/>
                <w:sz w:val="22"/>
                <w:szCs w:val="22"/>
              </w:rPr>
              <w:t>61</w:t>
            </w:r>
            <w:r w:rsidR="0031691B" w:rsidRPr="00485A4C">
              <w:rPr>
                <w:rFonts w:ascii="Tahoma" w:hAnsi="Tahoma" w:cs="Tahoma"/>
                <w:sz w:val="22"/>
                <w:szCs w:val="22"/>
              </w:rPr>
              <w:t>.000</w:t>
            </w:r>
          </w:p>
        </w:tc>
        <w:tc>
          <w:tcPr>
            <w:tcW w:w="236" w:type="dxa"/>
            <w:tcBorders>
              <w:top w:val="nil"/>
              <w:left w:val="nil"/>
              <w:bottom w:val="nil"/>
              <w:right w:val="nil"/>
            </w:tcBorders>
          </w:tcPr>
          <w:p w:rsidR="002B51BC" w:rsidRPr="00485A4C" w:rsidRDefault="002B51BC" w:rsidP="00526301">
            <w:pPr>
              <w:spacing w:before="60"/>
              <w:rPr>
                <w:rFonts w:ascii="Tahoma" w:hAnsi="Tahoma" w:cs="Tahoma"/>
                <w:sz w:val="22"/>
                <w:szCs w:val="22"/>
              </w:rPr>
            </w:pPr>
          </w:p>
        </w:tc>
        <w:tc>
          <w:tcPr>
            <w:tcW w:w="1800" w:type="dxa"/>
            <w:tcBorders>
              <w:top w:val="nil"/>
              <w:left w:val="nil"/>
              <w:bottom w:val="nil"/>
              <w:right w:val="nil"/>
            </w:tcBorders>
            <w:vAlign w:val="bottom"/>
          </w:tcPr>
          <w:p w:rsidR="002B51BC" w:rsidRPr="00485A4C" w:rsidRDefault="0031691B" w:rsidP="006A220C">
            <w:pPr>
              <w:spacing w:before="60"/>
              <w:jc w:val="center"/>
              <w:rPr>
                <w:rFonts w:ascii="Tahoma" w:hAnsi="Tahoma" w:cs="Tahoma"/>
                <w:sz w:val="22"/>
                <w:szCs w:val="22"/>
              </w:rPr>
            </w:pPr>
            <w:r w:rsidRPr="00485A4C">
              <w:rPr>
                <w:rFonts w:ascii="Tahoma" w:hAnsi="Tahoma" w:cs="Tahoma"/>
                <w:sz w:val="22"/>
                <w:szCs w:val="22"/>
              </w:rPr>
              <w:t>€</w:t>
            </w:r>
            <w:r w:rsidR="006A220C" w:rsidRPr="00485A4C">
              <w:rPr>
                <w:rFonts w:ascii="Tahoma" w:hAnsi="Tahoma" w:cs="Tahoma"/>
                <w:sz w:val="22"/>
                <w:szCs w:val="22"/>
              </w:rPr>
              <w:t>1.83</w:t>
            </w:r>
            <w:r w:rsidRPr="00485A4C">
              <w:rPr>
                <w:rFonts w:ascii="Tahoma" w:hAnsi="Tahoma" w:cs="Tahoma"/>
                <w:sz w:val="22"/>
                <w:szCs w:val="22"/>
              </w:rPr>
              <w:t>0.000</w:t>
            </w:r>
          </w:p>
        </w:tc>
        <w:tc>
          <w:tcPr>
            <w:tcW w:w="236" w:type="dxa"/>
            <w:tcBorders>
              <w:top w:val="nil"/>
              <w:left w:val="nil"/>
              <w:bottom w:val="nil"/>
              <w:right w:val="nil"/>
            </w:tcBorders>
            <w:shd w:val="clear" w:color="auto" w:fill="auto"/>
            <w:noWrap/>
            <w:vAlign w:val="bottom"/>
          </w:tcPr>
          <w:p w:rsidR="002B51BC" w:rsidRPr="00485A4C" w:rsidRDefault="002B51BC" w:rsidP="00526301">
            <w:pPr>
              <w:spacing w:before="60"/>
              <w:jc w:val="right"/>
              <w:rPr>
                <w:rFonts w:ascii="Tahoma" w:hAnsi="Tahoma" w:cs="Tahoma"/>
                <w:sz w:val="22"/>
                <w:szCs w:val="22"/>
              </w:rPr>
            </w:pPr>
          </w:p>
        </w:tc>
        <w:tc>
          <w:tcPr>
            <w:tcW w:w="1762" w:type="dxa"/>
            <w:tcBorders>
              <w:top w:val="nil"/>
              <w:left w:val="nil"/>
              <w:bottom w:val="nil"/>
              <w:right w:val="nil"/>
            </w:tcBorders>
            <w:shd w:val="clear" w:color="auto" w:fill="auto"/>
            <w:noWrap/>
            <w:vAlign w:val="bottom"/>
          </w:tcPr>
          <w:p w:rsidR="002B51BC" w:rsidRPr="00485A4C" w:rsidRDefault="0031691B" w:rsidP="00526301">
            <w:pPr>
              <w:spacing w:before="60"/>
              <w:jc w:val="center"/>
              <w:rPr>
                <w:rFonts w:ascii="Tahoma" w:hAnsi="Tahoma" w:cs="Tahoma"/>
                <w:sz w:val="22"/>
                <w:szCs w:val="22"/>
              </w:rPr>
            </w:pPr>
            <w:r w:rsidRPr="00485A4C">
              <w:rPr>
                <w:rFonts w:ascii="Tahoma" w:hAnsi="Tahoma" w:cs="Tahoma"/>
                <w:sz w:val="22"/>
                <w:szCs w:val="22"/>
              </w:rPr>
              <w:t>€0,00</w:t>
            </w:r>
          </w:p>
        </w:tc>
      </w:tr>
      <w:tr w:rsidR="006A220C" w:rsidRPr="00485A4C">
        <w:trPr>
          <w:trHeight w:val="281"/>
        </w:trPr>
        <w:tc>
          <w:tcPr>
            <w:tcW w:w="2700" w:type="dxa"/>
            <w:tcBorders>
              <w:top w:val="nil"/>
              <w:left w:val="nil"/>
              <w:bottom w:val="nil"/>
              <w:right w:val="nil"/>
            </w:tcBorders>
            <w:shd w:val="clear" w:color="auto" w:fill="auto"/>
            <w:noWrap/>
            <w:vAlign w:val="bottom"/>
          </w:tcPr>
          <w:p w:rsidR="006A220C" w:rsidRPr="005E7EDE" w:rsidRDefault="006A220C" w:rsidP="002D0D37">
            <w:pPr>
              <w:spacing w:before="60"/>
              <w:rPr>
                <w:rFonts w:ascii="Tahoma" w:hAnsi="Tahoma" w:cs="Tahoma"/>
                <w:sz w:val="22"/>
                <w:szCs w:val="22"/>
              </w:rPr>
            </w:pPr>
            <w:r w:rsidRPr="00485A4C">
              <w:rPr>
                <w:rFonts w:ascii="Tahoma" w:hAnsi="Tahoma" w:cs="Tahoma"/>
                <w:sz w:val="22"/>
                <w:szCs w:val="22"/>
              </w:rPr>
              <w:t>31 Δεκεμβρίου 20</w:t>
            </w:r>
            <w:r w:rsidRPr="00485A4C">
              <w:rPr>
                <w:rFonts w:ascii="Tahoma" w:hAnsi="Tahoma" w:cs="Tahoma"/>
                <w:sz w:val="22"/>
                <w:szCs w:val="22"/>
                <w:lang w:val="en-US"/>
              </w:rPr>
              <w:t>1</w:t>
            </w:r>
            <w:r w:rsidR="005E7EDE">
              <w:rPr>
                <w:rFonts w:ascii="Tahoma" w:hAnsi="Tahoma" w:cs="Tahoma"/>
                <w:sz w:val="22"/>
                <w:szCs w:val="22"/>
              </w:rPr>
              <w:t>8</w:t>
            </w:r>
          </w:p>
        </w:tc>
        <w:tc>
          <w:tcPr>
            <w:tcW w:w="1620" w:type="dxa"/>
            <w:tcBorders>
              <w:top w:val="nil"/>
              <w:left w:val="nil"/>
              <w:bottom w:val="nil"/>
              <w:right w:val="nil"/>
            </w:tcBorders>
            <w:vAlign w:val="bottom"/>
          </w:tcPr>
          <w:p w:rsidR="006A220C" w:rsidRPr="00485A4C" w:rsidRDefault="006A220C" w:rsidP="00DD56F4">
            <w:pPr>
              <w:spacing w:before="60"/>
              <w:jc w:val="center"/>
              <w:rPr>
                <w:rFonts w:ascii="Tahoma" w:hAnsi="Tahoma" w:cs="Tahoma"/>
                <w:sz w:val="22"/>
                <w:szCs w:val="22"/>
              </w:rPr>
            </w:pPr>
            <w:r w:rsidRPr="00485A4C">
              <w:rPr>
                <w:rFonts w:ascii="Tahoma" w:hAnsi="Tahoma" w:cs="Tahoma"/>
                <w:sz w:val="22"/>
                <w:szCs w:val="22"/>
              </w:rPr>
              <w:t>61.000</w:t>
            </w:r>
          </w:p>
        </w:tc>
        <w:tc>
          <w:tcPr>
            <w:tcW w:w="236" w:type="dxa"/>
            <w:tcBorders>
              <w:top w:val="nil"/>
              <w:left w:val="nil"/>
              <w:bottom w:val="nil"/>
              <w:right w:val="nil"/>
            </w:tcBorders>
          </w:tcPr>
          <w:p w:rsidR="006A220C" w:rsidRPr="00485A4C" w:rsidRDefault="006A220C" w:rsidP="00585370">
            <w:pPr>
              <w:spacing w:before="60"/>
              <w:rPr>
                <w:rFonts w:ascii="Tahoma" w:hAnsi="Tahoma" w:cs="Tahoma"/>
                <w:sz w:val="22"/>
                <w:szCs w:val="22"/>
              </w:rPr>
            </w:pPr>
          </w:p>
        </w:tc>
        <w:tc>
          <w:tcPr>
            <w:tcW w:w="1800" w:type="dxa"/>
            <w:tcBorders>
              <w:top w:val="nil"/>
              <w:left w:val="nil"/>
              <w:bottom w:val="nil"/>
              <w:right w:val="nil"/>
            </w:tcBorders>
            <w:vAlign w:val="bottom"/>
          </w:tcPr>
          <w:p w:rsidR="006A220C" w:rsidRPr="00485A4C" w:rsidRDefault="006A220C" w:rsidP="003D4A24">
            <w:pPr>
              <w:spacing w:before="60"/>
              <w:jc w:val="center"/>
              <w:rPr>
                <w:rFonts w:ascii="Tahoma" w:hAnsi="Tahoma" w:cs="Tahoma"/>
                <w:sz w:val="22"/>
                <w:szCs w:val="22"/>
              </w:rPr>
            </w:pPr>
            <w:r w:rsidRPr="00485A4C">
              <w:rPr>
                <w:rFonts w:ascii="Tahoma" w:hAnsi="Tahoma" w:cs="Tahoma"/>
                <w:sz w:val="22"/>
                <w:szCs w:val="22"/>
              </w:rPr>
              <w:t>€1.830.000</w:t>
            </w:r>
          </w:p>
        </w:tc>
        <w:tc>
          <w:tcPr>
            <w:tcW w:w="236" w:type="dxa"/>
            <w:tcBorders>
              <w:top w:val="nil"/>
              <w:left w:val="nil"/>
              <w:bottom w:val="nil"/>
              <w:right w:val="nil"/>
            </w:tcBorders>
            <w:shd w:val="clear" w:color="auto" w:fill="auto"/>
            <w:noWrap/>
            <w:vAlign w:val="bottom"/>
          </w:tcPr>
          <w:p w:rsidR="006A220C" w:rsidRPr="00485A4C" w:rsidRDefault="006A220C" w:rsidP="00585370">
            <w:pPr>
              <w:spacing w:before="60"/>
              <w:jc w:val="right"/>
              <w:rPr>
                <w:rFonts w:ascii="Tahoma" w:hAnsi="Tahoma" w:cs="Tahoma"/>
                <w:sz w:val="22"/>
                <w:szCs w:val="22"/>
              </w:rPr>
            </w:pPr>
          </w:p>
        </w:tc>
        <w:tc>
          <w:tcPr>
            <w:tcW w:w="1762" w:type="dxa"/>
            <w:tcBorders>
              <w:top w:val="nil"/>
              <w:left w:val="nil"/>
              <w:bottom w:val="nil"/>
              <w:right w:val="nil"/>
            </w:tcBorders>
            <w:shd w:val="clear" w:color="auto" w:fill="auto"/>
            <w:noWrap/>
            <w:vAlign w:val="bottom"/>
          </w:tcPr>
          <w:p w:rsidR="006A220C" w:rsidRPr="00485A4C" w:rsidRDefault="006A220C" w:rsidP="00DD56F4">
            <w:pPr>
              <w:spacing w:before="60"/>
              <w:jc w:val="center"/>
              <w:rPr>
                <w:rFonts w:ascii="Tahoma" w:hAnsi="Tahoma" w:cs="Tahoma"/>
                <w:sz w:val="22"/>
                <w:szCs w:val="22"/>
              </w:rPr>
            </w:pPr>
            <w:r w:rsidRPr="00485A4C">
              <w:rPr>
                <w:rFonts w:ascii="Tahoma" w:hAnsi="Tahoma" w:cs="Tahoma"/>
                <w:sz w:val="22"/>
                <w:szCs w:val="22"/>
              </w:rPr>
              <w:t>€0,00</w:t>
            </w:r>
          </w:p>
        </w:tc>
      </w:tr>
    </w:tbl>
    <w:p w:rsidR="00480197" w:rsidRPr="00485A4C" w:rsidRDefault="00480197" w:rsidP="00480197">
      <w:pPr>
        <w:ind w:left="-540"/>
        <w:rPr>
          <w:rFonts w:ascii="Tahoma" w:hAnsi="Tahoma" w:cs="Tahoma"/>
          <w:sz w:val="22"/>
          <w:szCs w:val="22"/>
        </w:rPr>
      </w:pPr>
    </w:p>
    <w:p w:rsidR="00480197" w:rsidRPr="00485A4C" w:rsidRDefault="00480197" w:rsidP="00480197">
      <w:pPr>
        <w:autoSpaceDE w:val="0"/>
        <w:autoSpaceDN w:val="0"/>
        <w:adjustRightInd w:val="0"/>
        <w:spacing w:line="360" w:lineRule="auto"/>
        <w:ind w:left="-539"/>
        <w:jc w:val="both"/>
        <w:rPr>
          <w:rFonts w:ascii="Tahoma" w:hAnsi="Tahoma" w:cs="Tahoma"/>
          <w:sz w:val="22"/>
          <w:szCs w:val="22"/>
        </w:rPr>
      </w:pPr>
      <w:r w:rsidRPr="00485A4C">
        <w:rPr>
          <w:rFonts w:ascii="Tahoma" w:hAnsi="Tahoma" w:cs="Tahoma"/>
          <w:sz w:val="22"/>
          <w:szCs w:val="22"/>
        </w:rPr>
        <w:t>Το σύνολο των κοινών ονομαστικών μετοχών την 3</w:t>
      </w:r>
      <w:r w:rsidR="0031691B" w:rsidRPr="00485A4C">
        <w:rPr>
          <w:rFonts w:ascii="Tahoma" w:hAnsi="Tahoma" w:cs="Tahoma"/>
          <w:sz w:val="22"/>
          <w:szCs w:val="22"/>
        </w:rPr>
        <w:t>1</w:t>
      </w:r>
      <w:r w:rsidRPr="00485A4C">
        <w:rPr>
          <w:rFonts w:ascii="Tahoma" w:hAnsi="Tahoma" w:cs="Tahoma"/>
          <w:sz w:val="22"/>
          <w:szCs w:val="22"/>
        </w:rPr>
        <w:t>.</w:t>
      </w:r>
      <w:r w:rsidR="0031691B" w:rsidRPr="00485A4C">
        <w:rPr>
          <w:rFonts w:ascii="Tahoma" w:hAnsi="Tahoma" w:cs="Tahoma"/>
          <w:sz w:val="22"/>
          <w:szCs w:val="22"/>
        </w:rPr>
        <w:t>12</w:t>
      </w:r>
      <w:r w:rsidRPr="00485A4C">
        <w:rPr>
          <w:rFonts w:ascii="Tahoma" w:hAnsi="Tahoma" w:cs="Tahoma"/>
          <w:sz w:val="22"/>
          <w:szCs w:val="22"/>
        </w:rPr>
        <w:t>.20</w:t>
      </w:r>
      <w:r w:rsidR="00DD56F4" w:rsidRPr="00485A4C">
        <w:rPr>
          <w:rFonts w:ascii="Tahoma" w:hAnsi="Tahoma" w:cs="Tahoma"/>
          <w:sz w:val="22"/>
          <w:szCs w:val="22"/>
        </w:rPr>
        <w:t>1</w:t>
      </w:r>
      <w:r w:rsidR="005E7EDE">
        <w:rPr>
          <w:rFonts w:ascii="Tahoma" w:hAnsi="Tahoma" w:cs="Tahoma"/>
          <w:sz w:val="22"/>
          <w:szCs w:val="22"/>
        </w:rPr>
        <w:t>8</w:t>
      </w:r>
      <w:r w:rsidRPr="00485A4C">
        <w:rPr>
          <w:rFonts w:ascii="Tahoma" w:hAnsi="Tahoma" w:cs="Tahoma"/>
          <w:sz w:val="22"/>
          <w:szCs w:val="22"/>
        </w:rPr>
        <w:t xml:space="preserve"> ανέρχεται σε </w:t>
      </w:r>
      <w:r w:rsidR="006A220C" w:rsidRPr="00485A4C">
        <w:rPr>
          <w:rFonts w:ascii="Tahoma" w:hAnsi="Tahoma" w:cs="Tahoma"/>
          <w:sz w:val="22"/>
          <w:szCs w:val="22"/>
        </w:rPr>
        <w:t>61</w:t>
      </w:r>
      <w:r w:rsidR="0031691B" w:rsidRPr="00485A4C">
        <w:rPr>
          <w:rFonts w:ascii="Tahoma" w:hAnsi="Tahoma" w:cs="Tahoma"/>
          <w:sz w:val="22"/>
          <w:szCs w:val="22"/>
        </w:rPr>
        <w:t>.000</w:t>
      </w:r>
      <w:r w:rsidRPr="00485A4C">
        <w:rPr>
          <w:rFonts w:ascii="Tahoma" w:hAnsi="Tahoma" w:cs="Tahoma"/>
          <w:sz w:val="22"/>
          <w:szCs w:val="22"/>
        </w:rPr>
        <w:t xml:space="preserve"> μετοχές µε ονομαστική αξία  €</w:t>
      </w:r>
      <w:r w:rsidR="006A220C" w:rsidRPr="00485A4C">
        <w:rPr>
          <w:rFonts w:ascii="Tahoma" w:hAnsi="Tahoma" w:cs="Tahoma"/>
          <w:sz w:val="22"/>
          <w:szCs w:val="22"/>
        </w:rPr>
        <w:t xml:space="preserve"> 30</w:t>
      </w:r>
      <w:r w:rsidR="0031691B" w:rsidRPr="00485A4C">
        <w:rPr>
          <w:rFonts w:ascii="Tahoma" w:hAnsi="Tahoma" w:cs="Tahoma"/>
          <w:sz w:val="22"/>
          <w:szCs w:val="22"/>
        </w:rPr>
        <w:t>,00</w:t>
      </w:r>
      <w:r w:rsidRPr="00485A4C">
        <w:rPr>
          <w:rFonts w:ascii="Tahoma" w:hAnsi="Tahoma" w:cs="Tahoma"/>
          <w:sz w:val="22"/>
          <w:szCs w:val="22"/>
        </w:rPr>
        <w:t xml:space="preserve"> ανά μετοχή. Το μετοχικό κεφάλαιο έχ</w:t>
      </w:r>
      <w:r w:rsidR="0031691B" w:rsidRPr="00485A4C">
        <w:rPr>
          <w:rFonts w:ascii="Tahoma" w:hAnsi="Tahoma" w:cs="Tahoma"/>
          <w:sz w:val="22"/>
          <w:szCs w:val="22"/>
        </w:rPr>
        <w:t>ει</w:t>
      </w:r>
      <w:r w:rsidRPr="00485A4C">
        <w:rPr>
          <w:rFonts w:ascii="Tahoma" w:hAnsi="Tahoma" w:cs="Tahoma"/>
          <w:sz w:val="22"/>
          <w:szCs w:val="22"/>
        </w:rPr>
        <w:t xml:space="preserve"> πλήρως καταβληθεί.</w:t>
      </w:r>
    </w:p>
    <w:p w:rsidR="00A75EB0" w:rsidRDefault="00A75EB0" w:rsidP="00480197">
      <w:pPr>
        <w:autoSpaceDE w:val="0"/>
        <w:autoSpaceDN w:val="0"/>
        <w:adjustRightInd w:val="0"/>
        <w:spacing w:line="360" w:lineRule="auto"/>
        <w:ind w:left="-539"/>
        <w:jc w:val="both"/>
        <w:rPr>
          <w:rFonts w:ascii="Tahoma" w:hAnsi="Tahoma" w:cs="Tahoma"/>
          <w:sz w:val="22"/>
          <w:szCs w:val="22"/>
        </w:rPr>
      </w:pPr>
    </w:p>
    <w:p w:rsidR="005E7EDE" w:rsidRDefault="005E7EDE" w:rsidP="00480197">
      <w:pPr>
        <w:autoSpaceDE w:val="0"/>
        <w:autoSpaceDN w:val="0"/>
        <w:adjustRightInd w:val="0"/>
        <w:spacing w:line="360" w:lineRule="auto"/>
        <w:ind w:left="-539"/>
        <w:jc w:val="both"/>
        <w:rPr>
          <w:rFonts w:ascii="Tahoma" w:hAnsi="Tahoma" w:cs="Tahoma"/>
          <w:sz w:val="22"/>
          <w:szCs w:val="22"/>
        </w:rPr>
      </w:pPr>
    </w:p>
    <w:p w:rsidR="005E7EDE" w:rsidRDefault="005E7EDE" w:rsidP="00480197">
      <w:pPr>
        <w:autoSpaceDE w:val="0"/>
        <w:autoSpaceDN w:val="0"/>
        <w:adjustRightInd w:val="0"/>
        <w:spacing w:line="360" w:lineRule="auto"/>
        <w:ind w:left="-539"/>
        <w:jc w:val="both"/>
        <w:rPr>
          <w:rFonts w:ascii="Tahoma" w:hAnsi="Tahoma" w:cs="Tahoma"/>
          <w:sz w:val="22"/>
          <w:szCs w:val="22"/>
        </w:rPr>
      </w:pPr>
    </w:p>
    <w:p w:rsidR="005E7EDE" w:rsidRDefault="005E7EDE" w:rsidP="00480197">
      <w:pPr>
        <w:autoSpaceDE w:val="0"/>
        <w:autoSpaceDN w:val="0"/>
        <w:adjustRightInd w:val="0"/>
        <w:spacing w:line="360" w:lineRule="auto"/>
        <w:ind w:left="-539"/>
        <w:jc w:val="both"/>
        <w:rPr>
          <w:rFonts w:ascii="Tahoma" w:hAnsi="Tahoma" w:cs="Tahoma"/>
          <w:sz w:val="22"/>
          <w:szCs w:val="22"/>
        </w:rPr>
      </w:pPr>
    </w:p>
    <w:p w:rsidR="005E7EDE" w:rsidRDefault="005E7EDE" w:rsidP="00480197">
      <w:pPr>
        <w:autoSpaceDE w:val="0"/>
        <w:autoSpaceDN w:val="0"/>
        <w:adjustRightInd w:val="0"/>
        <w:spacing w:line="360" w:lineRule="auto"/>
        <w:ind w:left="-539"/>
        <w:jc w:val="both"/>
        <w:rPr>
          <w:rFonts w:ascii="Tahoma" w:hAnsi="Tahoma" w:cs="Tahoma"/>
          <w:sz w:val="22"/>
          <w:szCs w:val="22"/>
        </w:rPr>
      </w:pPr>
    </w:p>
    <w:p w:rsidR="005E7EDE" w:rsidRDefault="005E7EDE" w:rsidP="00480197">
      <w:pPr>
        <w:autoSpaceDE w:val="0"/>
        <w:autoSpaceDN w:val="0"/>
        <w:adjustRightInd w:val="0"/>
        <w:spacing w:line="360" w:lineRule="auto"/>
        <w:ind w:left="-539"/>
        <w:jc w:val="both"/>
        <w:rPr>
          <w:rFonts w:ascii="Tahoma" w:hAnsi="Tahoma" w:cs="Tahoma"/>
          <w:sz w:val="22"/>
          <w:szCs w:val="22"/>
        </w:rPr>
      </w:pPr>
    </w:p>
    <w:p w:rsidR="005E7EDE" w:rsidRPr="00485A4C" w:rsidRDefault="005E7EDE" w:rsidP="00480197">
      <w:pPr>
        <w:autoSpaceDE w:val="0"/>
        <w:autoSpaceDN w:val="0"/>
        <w:adjustRightInd w:val="0"/>
        <w:spacing w:line="360" w:lineRule="auto"/>
        <w:ind w:left="-539"/>
        <w:jc w:val="both"/>
        <w:rPr>
          <w:rFonts w:ascii="Tahoma" w:hAnsi="Tahoma" w:cs="Tahoma"/>
          <w:sz w:val="22"/>
          <w:szCs w:val="22"/>
        </w:rPr>
      </w:pPr>
    </w:p>
    <w:p w:rsidR="00480197" w:rsidRPr="00485A4C" w:rsidRDefault="0020008D" w:rsidP="00480197">
      <w:pPr>
        <w:pStyle w:val="Heading2"/>
        <w:spacing w:before="0" w:after="0"/>
        <w:ind w:left="-539"/>
        <w:rPr>
          <w:rFonts w:ascii="Tahoma" w:hAnsi="Tahoma" w:cs="Tahoma"/>
          <w:i w:val="0"/>
          <w:sz w:val="22"/>
          <w:szCs w:val="22"/>
        </w:rPr>
      </w:pPr>
      <w:bookmarkStart w:id="40" w:name="_Toc178753440"/>
      <w:bookmarkStart w:id="41" w:name="_Toc526260610"/>
      <w:r w:rsidRPr="00485A4C">
        <w:rPr>
          <w:rFonts w:ascii="Tahoma" w:hAnsi="Tahoma" w:cs="Tahoma"/>
          <w:i w:val="0"/>
          <w:sz w:val="22"/>
          <w:szCs w:val="22"/>
        </w:rPr>
        <w:lastRenderedPageBreak/>
        <w:t>7</w:t>
      </w:r>
      <w:r w:rsidR="00BE65F3" w:rsidRPr="00485A4C">
        <w:rPr>
          <w:rFonts w:ascii="Tahoma" w:hAnsi="Tahoma" w:cs="Tahoma"/>
          <w:i w:val="0"/>
          <w:sz w:val="22"/>
          <w:szCs w:val="22"/>
        </w:rPr>
        <w:t>.9</w:t>
      </w:r>
      <w:r w:rsidR="00480197" w:rsidRPr="00485A4C">
        <w:rPr>
          <w:rFonts w:ascii="Tahoma" w:hAnsi="Tahoma" w:cs="Tahoma"/>
          <w:i w:val="0"/>
          <w:sz w:val="22"/>
          <w:szCs w:val="22"/>
        </w:rPr>
        <w:t xml:space="preserve"> Λοιπά αποθεματικά</w:t>
      </w:r>
      <w:bookmarkEnd w:id="40"/>
      <w:r w:rsidR="00FF61CE" w:rsidRPr="00485A4C">
        <w:rPr>
          <w:rFonts w:ascii="Tahoma" w:hAnsi="Tahoma" w:cs="Tahoma"/>
          <w:i w:val="0"/>
          <w:sz w:val="22"/>
          <w:szCs w:val="22"/>
        </w:rPr>
        <w:t xml:space="preserve"> &amp; αποτελέσματα εις νέο</w:t>
      </w:r>
      <w:bookmarkEnd w:id="41"/>
    </w:p>
    <w:p w:rsidR="00480197" w:rsidRPr="00485A4C" w:rsidRDefault="00480197" w:rsidP="00480197">
      <w:pPr>
        <w:ind w:left="-539"/>
        <w:jc w:val="both"/>
        <w:rPr>
          <w:rFonts w:ascii="Tahoma" w:hAnsi="Tahoma" w:cs="Tahoma"/>
          <w:sz w:val="22"/>
          <w:szCs w:val="22"/>
        </w:rPr>
      </w:pPr>
    </w:p>
    <w:p w:rsidR="00705972" w:rsidRDefault="00480197" w:rsidP="00480197">
      <w:pPr>
        <w:ind w:left="-539"/>
        <w:jc w:val="both"/>
        <w:rPr>
          <w:rFonts w:ascii="Tahoma" w:hAnsi="Tahoma" w:cs="Tahoma"/>
          <w:sz w:val="22"/>
          <w:szCs w:val="22"/>
        </w:rPr>
      </w:pPr>
      <w:r w:rsidRPr="00485A4C">
        <w:rPr>
          <w:rFonts w:ascii="Tahoma" w:hAnsi="Tahoma" w:cs="Tahoma"/>
          <w:sz w:val="22"/>
          <w:szCs w:val="22"/>
        </w:rPr>
        <w:t>Τα υπόλοιπα των λοιπών αποθεματικών αναλύονται ως εξής.</w:t>
      </w:r>
    </w:p>
    <w:p w:rsidR="005E7EDE" w:rsidRDefault="005E7EDE" w:rsidP="00480197">
      <w:pPr>
        <w:ind w:left="-539"/>
        <w:jc w:val="both"/>
        <w:rPr>
          <w:rFonts w:ascii="Tahoma" w:hAnsi="Tahoma" w:cs="Tahoma"/>
          <w:sz w:val="22"/>
          <w:szCs w:val="22"/>
        </w:rPr>
      </w:pPr>
    </w:p>
    <w:p w:rsidR="005E7EDE" w:rsidRDefault="005E7EDE" w:rsidP="00480197">
      <w:pPr>
        <w:ind w:left="-539"/>
        <w:jc w:val="both"/>
        <w:rPr>
          <w:rFonts w:ascii="Tahoma" w:hAnsi="Tahoma" w:cs="Tahoma"/>
          <w:sz w:val="22"/>
          <w:szCs w:val="22"/>
        </w:rPr>
      </w:pPr>
    </w:p>
    <w:tbl>
      <w:tblPr>
        <w:tblpPr w:leftFromText="180" w:rightFromText="180" w:vertAnchor="text" w:horzAnchor="page" w:tblpX="1849" w:tblpY="134"/>
        <w:tblW w:w="9072" w:type="dxa"/>
        <w:tblLook w:val="04A0" w:firstRow="1" w:lastRow="0" w:firstColumn="1" w:lastColumn="0" w:noHBand="0" w:noVBand="1"/>
      </w:tblPr>
      <w:tblGrid>
        <w:gridCol w:w="2127"/>
        <w:gridCol w:w="1701"/>
        <w:gridCol w:w="1984"/>
        <w:gridCol w:w="1776"/>
        <w:gridCol w:w="1484"/>
      </w:tblGrid>
      <w:tr w:rsidR="005E7EDE" w:rsidTr="007B2E99">
        <w:trPr>
          <w:trHeight w:val="276"/>
        </w:trPr>
        <w:tc>
          <w:tcPr>
            <w:tcW w:w="2127" w:type="dxa"/>
            <w:tcBorders>
              <w:top w:val="nil"/>
              <w:left w:val="nil"/>
              <w:bottom w:val="nil"/>
              <w:right w:val="nil"/>
            </w:tcBorders>
            <w:shd w:val="clear" w:color="000000" w:fill="E6E6E6"/>
            <w:noWrap/>
            <w:vAlign w:val="bottom"/>
            <w:hideMark/>
          </w:tcPr>
          <w:p w:rsidR="005E7EDE" w:rsidRDefault="005E7EDE" w:rsidP="007B2E99">
            <w:pPr>
              <w:rPr>
                <w:rFonts w:ascii="Tahoma" w:hAnsi="Tahoma" w:cs="Tahoma"/>
                <w:sz w:val="18"/>
                <w:szCs w:val="18"/>
              </w:rPr>
            </w:pPr>
            <w:r>
              <w:rPr>
                <w:rFonts w:ascii="Tahoma" w:hAnsi="Tahoma" w:cs="Tahoma"/>
                <w:sz w:val="18"/>
                <w:szCs w:val="18"/>
              </w:rPr>
              <w:t> </w:t>
            </w:r>
          </w:p>
        </w:tc>
        <w:tc>
          <w:tcPr>
            <w:tcW w:w="1701" w:type="dxa"/>
            <w:tcBorders>
              <w:top w:val="nil"/>
              <w:left w:val="nil"/>
              <w:bottom w:val="nil"/>
              <w:right w:val="nil"/>
            </w:tcBorders>
            <w:shd w:val="clear" w:color="000000" w:fill="E6E6E6"/>
            <w:noWrap/>
            <w:vAlign w:val="bottom"/>
            <w:hideMark/>
          </w:tcPr>
          <w:p w:rsidR="005E7EDE" w:rsidRDefault="005E7EDE" w:rsidP="007B2E99">
            <w:pPr>
              <w:jc w:val="center"/>
              <w:rPr>
                <w:rFonts w:ascii="Tahoma" w:hAnsi="Tahoma" w:cs="Tahoma"/>
                <w:b/>
                <w:bCs/>
                <w:sz w:val="18"/>
                <w:szCs w:val="18"/>
              </w:rPr>
            </w:pPr>
            <w:r>
              <w:rPr>
                <w:rFonts w:ascii="Tahoma" w:hAnsi="Tahoma" w:cs="Tahoma"/>
                <w:b/>
                <w:bCs/>
                <w:sz w:val="18"/>
                <w:szCs w:val="18"/>
              </w:rPr>
              <w:t>Τακτικό</w:t>
            </w:r>
          </w:p>
        </w:tc>
        <w:tc>
          <w:tcPr>
            <w:tcW w:w="1984" w:type="dxa"/>
            <w:tcBorders>
              <w:top w:val="nil"/>
              <w:left w:val="nil"/>
              <w:bottom w:val="nil"/>
              <w:right w:val="nil"/>
            </w:tcBorders>
            <w:shd w:val="clear" w:color="000000" w:fill="E6E6E6"/>
            <w:noWrap/>
            <w:vAlign w:val="bottom"/>
            <w:hideMark/>
          </w:tcPr>
          <w:p w:rsidR="005E7EDE" w:rsidRDefault="005E7EDE" w:rsidP="007B2E99">
            <w:pPr>
              <w:jc w:val="center"/>
              <w:rPr>
                <w:rFonts w:ascii="Tahoma" w:hAnsi="Tahoma" w:cs="Tahoma"/>
                <w:b/>
                <w:bCs/>
                <w:sz w:val="18"/>
                <w:szCs w:val="18"/>
              </w:rPr>
            </w:pPr>
            <w:r>
              <w:rPr>
                <w:rFonts w:ascii="Tahoma" w:hAnsi="Tahoma" w:cs="Tahoma"/>
                <w:b/>
                <w:bCs/>
                <w:sz w:val="18"/>
                <w:szCs w:val="18"/>
              </w:rPr>
              <w:t>Λοιπά</w:t>
            </w:r>
          </w:p>
        </w:tc>
        <w:tc>
          <w:tcPr>
            <w:tcW w:w="1776" w:type="dxa"/>
            <w:tcBorders>
              <w:top w:val="nil"/>
              <w:left w:val="nil"/>
              <w:bottom w:val="nil"/>
              <w:right w:val="nil"/>
            </w:tcBorders>
            <w:shd w:val="clear" w:color="000000" w:fill="E6E6E6"/>
            <w:noWrap/>
            <w:vAlign w:val="bottom"/>
            <w:hideMark/>
          </w:tcPr>
          <w:p w:rsidR="005E7EDE" w:rsidRDefault="005E7EDE" w:rsidP="007B2E99">
            <w:pPr>
              <w:jc w:val="center"/>
              <w:rPr>
                <w:rFonts w:ascii="Tahoma" w:hAnsi="Tahoma" w:cs="Tahoma"/>
                <w:b/>
                <w:bCs/>
                <w:sz w:val="18"/>
                <w:szCs w:val="18"/>
              </w:rPr>
            </w:pPr>
            <w:r>
              <w:rPr>
                <w:rFonts w:ascii="Tahoma" w:hAnsi="Tahoma" w:cs="Tahoma"/>
                <w:b/>
                <w:bCs/>
                <w:sz w:val="18"/>
                <w:szCs w:val="18"/>
              </w:rPr>
              <w:t>Αποτελέσματα</w:t>
            </w:r>
          </w:p>
        </w:tc>
        <w:tc>
          <w:tcPr>
            <w:tcW w:w="1484" w:type="dxa"/>
            <w:tcBorders>
              <w:top w:val="nil"/>
              <w:left w:val="nil"/>
              <w:bottom w:val="nil"/>
              <w:right w:val="nil"/>
            </w:tcBorders>
            <w:shd w:val="clear" w:color="000000" w:fill="E6E6E6"/>
            <w:noWrap/>
            <w:vAlign w:val="bottom"/>
            <w:hideMark/>
          </w:tcPr>
          <w:p w:rsidR="005E7EDE" w:rsidRDefault="005E7EDE" w:rsidP="007B2E99">
            <w:pPr>
              <w:jc w:val="right"/>
              <w:rPr>
                <w:rFonts w:ascii="Tahoma" w:hAnsi="Tahoma" w:cs="Tahoma"/>
                <w:b/>
                <w:bCs/>
                <w:sz w:val="18"/>
                <w:szCs w:val="18"/>
              </w:rPr>
            </w:pPr>
            <w:r>
              <w:rPr>
                <w:rFonts w:ascii="Tahoma" w:hAnsi="Tahoma" w:cs="Tahoma"/>
                <w:b/>
                <w:bCs/>
                <w:sz w:val="18"/>
                <w:szCs w:val="18"/>
              </w:rPr>
              <w:t> </w:t>
            </w:r>
          </w:p>
        </w:tc>
      </w:tr>
      <w:tr w:rsidR="005E7EDE" w:rsidTr="007B2E99">
        <w:trPr>
          <w:trHeight w:val="276"/>
        </w:trPr>
        <w:tc>
          <w:tcPr>
            <w:tcW w:w="2127" w:type="dxa"/>
            <w:tcBorders>
              <w:top w:val="nil"/>
              <w:left w:val="nil"/>
              <w:bottom w:val="nil"/>
              <w:right w:val="nil"/>
            </w:tcBorders>
            <w:shd w:val="clear" w:color="000000" w:fill="E6E6E6"/>
            <w:noWrap/>
            <w:vAlign w:val="bottom"/>
            <w:hideMark/>
          </w:tcPr>
          <w:p w:rsidR="005E7EDE" w:rsidRDefault="005E7EDE" w:rsidP="007B2E99">
            <w:pPr>
              <w:rPr>
                <w:rFonts w:ascii="Tahoma" w:hAnsi="Tahoma" w:cs="Tahoma"/>
                <w:b/>
                <w:bCs/>
                <w:sz w:val="18"/>
                <w:szCs w:val="18"/>
              </w:rPr>
            </w:pPr>
            <w:r>
              <w:rPr>
                <w:rFonts w:ascii="Tahoma" w:hAnsi="Tahoma" w:cs="Tahoma"/>
                <w:b/>
                <w:bCs/>
                <w:sz w:val="18"/>
                <w:szCs w:val="18"/>
              </w:rPr>
              <w:t>Εταιρεία</w:t>
            </w:r>
          </w:p>
        </w:tc>
        <w:tc>
          <w:tcPr>
            <w:tcW w:w="1701" w:type="dxa"/>
            <w:tcBorders>
              <w:top w:val="nil"/>
              <w:left w:val="nil"/>
              <w:bottom w:val="nil"/>
              <w:right w:val="nil"/>
            </w:tcBorders>
            <w:shd w:val="clear" w:color="000000" w:fill="E6E6E6"/>
            <w:noWrap/>
            <w:vAlign w:val="bottom"/>
            <w:hideMark/>
          </w:tcPr>
          <w:p w:rsidR="005E7EDE" w:rsidRDefault="005E7EDE" w:rsidP="007B2E99">
            <w:pPr>
              <w:jc w:val="center"/>
              <w:rPr>
                <w:rFonts w:ascii="Tahoma" w:hAnsi="Tahoma" w:cs="Tahoma"/>
                <w:b/>
                <w:bCs/>
                <w:sz w:val="18"/>
                <w:szCs w:val="18"/>
              </w:rPr>
            </w:pPr>
            <w:r>
              <w:rPr>
                <w:rFonts w:ascii="Tahoma" w:hAnsi="Tahoma" w:cs="Tahoma"/>
                <w:b/>
                <w:bCs/>
                <w:sz w:val="18"/>
                <w:szCs w:val="18"/>
              </w:rPr>
              <w:t>αποθεματικό</w:t>
            </w:r>
          </w:p>
        </w:tc>
        <w:tc>
          <w:tcPr>
            <w:tcW w:w="1984" w:type="dxa"/>
            <w:tcBorders>
              <w:top w:val="nil"/>
              <w:left w:val="nil"/>
              <w:bottom w:val="nil"/>
              <w:right w:val="nil"/>
            </w:tcBorders>
            <w:shd w:val="clear" w:color="000000" w:fill="E6E6E6"/>
            <w:noWrap/>
            <w:vAlign w:val="bottom"/>
            <w:hideMark/>
          </w:tcPr>
          <w:p w:rsidR="005E7EDE" w:rsidRDefault="005E7EDE" w:rsidP="007B2E99">
            <w:pPr>
              <w:jc w:val="center"/>
              <w:rPr>
                <w:rFonts w:ascii="Tahoma" w:hAnsi="Tahoma" w:cs="Tahoma"/>
                <w:b/>
                <w:bCs/>
                <w:sz w:val="18"/>
                <w:szCs w:val="18"/>
              </w:rPr>
            </w:pPr>
            <w:r>
              <w:rPr>
                <w:rFonts w:ascii="Tahoma" w:hAnsi="Tahoma" w:cs="Tahoma"/>
                <w:b/>
                <w:bCs/>
                <w:sz w:val="18"/>
                <w:szCs w:val="18"/>
              </w:rPr>
              <w:t>αποθεματικά</w:t>
            </w:r>
          </w:p>
        </w:tc>
        <w:tc>
          <w:tcPr>
            <w:tcW w:w="1776" w:type="dxa"/>
            <w:tcBorders>
              <w:top w:val="nil"/>
              <w:left w:val="nil"/>
              <w:bottom w:val="nil"/>
              <w:right w:val="nil"/>
            </w:tcBorders>
            <w:shd w:val="clear" w:color="000000" w:fill="E6E6E6"/>
            <w:noWrap/>
            <w:vAlign w:val="bottom"/>
            <w:hideMark/>
          </w:tcPr>
          <w:p w:rsidR="005E7EDE" w:rsidRDefault="005E7EDE" w:rsidP="007B2E99">
            <w:pPr>
              <w:jc w:val="center"/>
              <w:rPr>
                <w:rFonts w:ascii="Tahoma" w:hAnsi="Tahoma" w:cs="Tahoma"/>
                <w:b/>
                <w:bCs/>
                <w:sz w:val="18"/>
                <w:szCs w:val="18"/>
              </w:rPr>
            </w:pPr>
            <w:r>
              <w:rPr>
                <w:rFonts w:ascii="Tahoma" w:hAnsi="Tahoma" w:cs="Tahoma"/>
                <w:b/>
                <w:bCs/>
                <w:sz w:val="18"/>
                <w:szCs w:val="18"/>
              </w:rPr>
              <w:t>εις νέο</w:t>
            </w:r>
          </w:p>
        </w:tc>
        <w:tc>
          <w:tcPr>
            <w:tcW w:w="1484" w:type="dxa"/>
            <w:tcBorders>
              <w:top w:val="nil"/>
              <w:left w:val="nil"/>
              <w:bottom w:val="nil"/>
              <w:right w:val="nil"/>
            </w:tcBorders>
            <w:shd w:val="clear" w:color="000000" w:fill="E6E6E6"/>
            <w:noWrap/>
            <w:vAlign w:val="bottom"/>
            <w:hideMark/>
          </w:tcPr>
          <w:p w:rsidR="005E7EDE" w:rsidRDefault="005E7EDE" w:rsidP="007B2E99">
            <w:pPr>
              <w:jc w:val="center"/>
              <w:rPr>
                <w:rFonts w:ascii="Tahoma" w:hAnsi="Tahoma" w:cs="Tahoma"/>
                <w:b/>
                <w:bCs/>
                <w:sz w:val="18"/>
                <w:szCs w:val="18"/>
              </w:rPr>
            </w:pPr>
            <w:r>
              <w:rPr>
                <w:rFonts w:ascii="Tahoma" w:hAnsi="Tahoma" w:cs="Tahoma"/>
                <w:b/>
                <w:bCs/>
                <w:sz w:val="18"/>
                <w:szCs w:val="18"/>
              </w:rPr>
              <w:t>Σύνολο</w:t>
            </w:r>
          </w:p>
        </w:tc>
      </w:tr>
      <w:tr w:rsidR="005E7EDE" w:rsidTr="007B2E99">
        <w:trPr>
          <w:trHeight w:val="360"/>
        </w:trPr>
        <w:tc>
          <w:tcPr>
            <w:tcW w:w="2127" w:type="dxa"/>
            <w:tcBorders>
              <w:top w:val="nil"/>
              <w:left w:val="nil"/>
              <w:bottom w:val="nil"/>
              <w:right w:val="nil"/>
            </w:tcBorders>
            <w:shd w:val="clear" w:color="auto" w:fill="auto"/>
            <w:noWrap/>
            <w:vAlign w:val="bottom"/>
            <w:hideMark/>
          </w:tcPr>
          <w:p w:rsidR="005E7EDE" w:rsidRDefault="005E7EDE" w:rsidP="007B2E99">
            <w:pPr>
              <w:rPr>
                <w:rFonts w:ascii="Tahoma" w:hAnsi="Tahoma" w:cs="Tahoma"/>
                <w:sz w:val="18"/>
                <w:szCs w:val="18"/>
              </w:rPr>
            </w:pPr>
            <w:r>
              <w:rPr>
                <w:rFonts w:ascii="Tahoma" w:hAnsi="Tahoma" w:cs="Tahoma"/>
                <w:sz w:val="18"/>
                <w:szCs w:val="18"/>
              </w:rPr>
              <w:t xml:space="preserve"> 31η Δεκεμβρίου 2017</w:t>
            </w:r>
          </w:p>
        </w:tc>
        <w:tc>
          <w:tcPr>
            <w:tcW w:w="1701" w:type="dxa"/>
            <w:tcBorders>
              <w:top w:val="nil"/>
              <w:left w:val="nil"/>
              <w:bottom w:val="single" w:sz="4" w:space="0" w:color="auto"/>
              <w:right w:val="nil"/>
            </w:tcBorders>
            <w:shd w:val="clear" w:color="auto" w:fill="auto"/>
            <w:noWrap/>
            <w:vAlign w:val="bottom"/>
            <w:hideMark/>
          </w:tcPr>
          <w:p w:rsidR="005E7EDE" w:rsidRDefault="005E7EDE" w:rsidP="007B2E99">
            <w:pPr>
              <w:jc w:val="right"/>
              <w:rPr>
                <w:rFonts w:ascii="Tahoma" w:hAnsi="Tahoma" w:cs="Tahoma"/>
                <w:sz w:val="18"/>
                <w:szCs w:val="18"/>
              </w:rPr>
            </w:pPr>
            <w:r>
              <w:rPr>
                <w:rFonts w:ascii="Tahoma" w:hAnsi="Tahoma" w:cs="Tahoma"/>
                <w:sz w:val="18"/>
                <w:szCs w:val="18"/>
              </w:rPr>
              <w:t>300.100,00</w:t>
            </w:r>
          </w:p>
        </w:tc>
        <w:tc>
          <w:tcPr>
            <w:tcW w:w="1984" w:type="dxa"/>
            <w:tcBorders>
              <w:top w:val="nil"/>
              <w:left w:val="nil"/>
              <w:bottom w:val="single" w:sz="4" w:space="0" w:color="auto"/>
              <w:right w:val="nil"/>
            </w:tcBorders>
            <w:shd w:val="clear" w:color="auto" w:fill="auto"/>
            <w:noWrap/>
            <w:vAlign w:val="bottom"/>
            <w:hideMark/>
          </w:tcPr>
          <w:p w:rsidR="005E7EDE" w:rsidRDefault="005E7EDE" w:rsidP="007B2E99">
            <w:pPr>
              <w:jc w:val="right"/>
              <w:rPr>
                <w:rFonts w:ascii="Tahoma" w:hAnsi="Tahoma" w:cs="Tahoma"/>
                <w:sz w:val="18"/>
                <w:szCs w:val="18"/>
              </w:rPr>
            </w:pPr>
            <w:r>
              <w:rPr>
                <w:rFonts w:ascii="Tahoma" w:hAnsi="Tahoma" w:cs="Tahoma"/>
                <w:sz w:val="18"/>
                <w:szCs w:val="18"/>
              </w:rPr>
              <w:t>199.154,69</w:t>
            </w:r>
          </w:p>
        </w:tc>
        <w:tc>
          <w:tcPr>
            <w:tcW w:w="1776" w:type="dxa"/>
            <w:tcBorders>
              <w:top w:val="nil"/>
              <w:left w:val="nil"/>
              <w:bottom w:val="single" w:sz="4" w:space="0" w:color="auto"/>
              <w:right w:val="nil"/>
            </w:tcBorders>
            <w:shd w:val="clear" w:color="auto" w:fill="auto"/>
            <w:noWrap/>
            <w:vAlign w:val="bottom"/>
            <w:hideMark/>
          </w:tcPr>
          <w:p w:rsidR="005E7EDE" w:rsidRDefault="005E7EDE" w:rsidP="007B2E99">
            <w:pPr>
              <w:jc w:val="right"/>
              <w:rPr>
                <w:rFonts w:ascii="Tahoma" w:hAnsi="Tahoma" w:cs="Tahoma"/>
                <w:sz w:val="18"/>
                <w:szCs w:val="18"/>
              </w:rPr>
            </w:pPr>
            <w:r>
              <w:rPr>
                <w:rFonts w:ascii="Tahoma" w:hAnsi="Tahoma" w:cs="Tahoma"/>
                <w:sz w:val="18"/>
                <w:szCs w:val="18"/>
              </w:rPr>
              <w:t xml:space="preserve">          1.777.301,25 </w:t>
            </w:r>
          </w:p>
        </w:tc>
        <w:tc>
          <w:tcPr>
            <w:tcW w:w="1484" w:type="dxa"/>
            <w:tcBorders>
              <w:top w:val="nil"/>
              <w:left w:val="nil"/>
              <w:bottom w:val="single" w:sz="4" w:space="0" w:color="auto"/>
              <w:right w:val="nil"/>
            </w:tcBorders>
            <w:shd w:val="clear" w:color="auto" w:fill="auto"/>
            <w:noWrap/>
            <w:vAlign w:val="bottom"/>
            <w:hideMark/>
          </w:tcPr>
          <w:p w:rsidR="005E7EDE" w:rsidRDefault="005E7EDE" w:rsidP="007B2E99">
            <w:pPr>
              <w:jc w:val="right"/>
              <w:rPr>
                <w:rFonts w:ascii="Tahoma" w:hAnsi="Tahoma" w:cs="Tahoma"/>
                <w:sz w:val="18"/>
                <w:szCs w:val="18"/>
              </w:rPr>
            </w:pPr>
            <w:r>
              <w:rPr>
                <w:rFonts w:ascii="Tahoma" w:hAnsi="Tahoma" w:cs="Tahoma"/>
                <w:sz w:val="18"/>
                <w:szCs w:val="18"/>
              </w:rPr>
              <w:t xml:space="preserve">          2.276.555,94 </w:t>
            </w:r>
          </w:p>
        </w:tc>
      </w:tr>
      <w:tr w:rsidR="005E7EDE" w:rsidTr="007B2E99">
        <w:trPr>
          <w:trHeight w:val="360"/>
        </w:trPr>
        <w:tc>
          <w:tcPr>
            <w:tcW w:w="2127" w:type="dxa"/>
            <w:tcBorders>
              <w:top w:val="nil"/>
              <w:left w:val="nil"/>
              <w:bottom w:val="nil"/>
              <w:right w:val="nil"/>
            </w:tcBorders>
            <w:shd w:val="clear" w:color="auto" w:fill="auto"/>
            <w:noWrap/>
            <w:vAlign w:val="bottom"/>
            <w:hideMark/>
          </w:tcPr>
          <w:p w:rsidR="005E7EDE" w:rsidRDefault="005E7EDE" w:rsidP="007B2E99">
            <w:pPr>
              <w:rPr>
                <w:rFonts w:ascii="Tahoma" w:hAnsi="Tahoma" w:cs="Tahoma"/>
                <w:sz w:val="18"/>
                <w:szCs w:val="18"/>
              </w:rPr>
            </w:pPr>
            <w:r>
              <w:rPr>
                <w:rFonts w:ascii="Tahoma" w:hAnsi="Tahoma" w:cs="Tahoma"/>
                <w:sz w:val="18"/>
                <w:szCs w:val="18"/>
              </w:rPr>
              <w:t xml:space="preserve">Διανομή κερδών </w:t>
            </w:r>
          </w:p>
        </w:tc>
        <w:tc>
          <w:tcPr>
            <w:tcW w:w="1701" w:type="dxa"/>
            <w:tcBorders>
              <w:top w:val="nil"/>
              <w:left w:val="nil"/>
              <w:bottom w:val="nil"/>
              <w:right w:val="nil"/>
            </w:tcBorders>
            <w:shd w:val="clear" w:color="auto" w:fill="auto"/>
            <w:noWrap/>
            <w:vAlign w:val="bottom"/>
            <w:hideMark/>
          </w:tcPr>
          <w:p w:rsidR="005E7EDE" w:rsidRDefault="005E7EDE" w:rsidP="007B2E99">
            <w:pPr>
              <w:jc w:val="right"/>
              <w:rPr>
                <w:rFonts w:ascii="Tahoma" w:hAnsi="Tahoma" w:cs="Tahoma"/>
                <w:sz w:val="18"/>
                <w:szCs w:val="18"/>
              </w:rPr>
            </w:pPr>
            <w:r>
              <w:rPr>
                <w:rFonts w:ascii="Tahoma" w:hAnsi="Tahoma" w:cs="Tahoma"/>
                <w:sz w:val="18"/>
                <w:szCs w:val="18"/>
              </w:rPr>
              <w:t>30.000,00</w:t>
            </w:r>
          </w:p>
        </w:tc>
        <w:tc>
          <w:tcPr>
            <w:tcW w:w="1984" w:type="dxa"/>
            <w:tcBorders>
              <w:top w:val="nil"/>
              <w:left w:val="nil"/>
              <w:bottom w:val="nil"/>
              <w:right w:val="nil"/>
            </w:tcBorders>
            <w:shd w:val="clear" w:color="auto" w:fill="auto"/>
            <w:noWrap/>
            <w:vAlign w:val="bottom"/>
            <w:hideMark/>
          </w:tcPr>
          <w:p w:rsidR="005E7EDE" w:rsidRDefault="005E7EDE" w:rsidP="007B2E99">
            <w:pPr>
              <w:jc w:val="right"/>
              <w:rPr>
                <w:rFonts w:ascii="Tahoma" w:hAnsi="Tahoma" w:cs="Tahoma"/>
                <w:sz w:val="18"/>
                <w:szCs w:val="18"/>
              </w:rPr>
            </w:pPr>
            <w:r>
              <w:rPr>
                <w:rFonts w:ascii="Tahoma" w:hAnsi="Tahoma" w:cs="Tahoma"/>
                <w:sz w:val="18"/>
                <w:szCs w:val="18"/>
              </w:rPr>
              <w:t>0,00</w:t>
            </w:r>
          </w:p>
        </w:tc>
        <w:tc>
          <w:tcPr>
            <w:tcW w:w="1776" w:type="dxa"/>
            <w:tcBorders>
              <w:top w:val="nil"/>
              <w:left w:val="nil"/>
              <w:bottom w:val="nil"/>
              <w:right w:val="nil"/>
            </w:tcBorders>
            <w:shd w:val="clear" w:color="auto" w:fill="auto"/>
            <w:noWrap/>
            <w:vAlign w:val="bottom"/>
            <w:hideMark/>
          </w:tcPr>
          <w:p w:rsidR="005E7EDE" w:rsidRDefault="005E7EDE" w:rsidP="007B2E99">
            <w:pPr>
              <w:jc w:val="right"/>
              <w:rPr>
                <w:rFonts w:ascii="Tahoma" w:hAnsi="Tahoma" w:cs="Tahoma"/>
                <w:sz w:val="18"/>
                <w:szCs w:val="18"/>
              </w:rPr>
            </w:pPr>
            <w:r>
              <w:rPr>
                <w:rFonts w:ascii="Tahoma" w:hAnsi="Tahoma" w:cs="Tahoma"/>
                <w:sz w:val="18"/>
                <w:szCs w:val="18"/>
              </w:rPr>
              <w:t xml:space="preserve">           (420.000,00)</w:t>
            </w:r>
          </w:p>
        </w:tc>
        <w:tc>
          <w:tcPr>
            <w:tcW w:w="1484" w:type="dxa"/>
            <w:tcBorders>
              <w:top w:val="nil"/>
              <w:left w:val="nil"/>
              <w:bottom w:val="nil"/>
              <w:right w:val="nil"/>
            </w:tcBorders>
            <w:shd w:val="clear" w:color="auto" w:fill="auto"/>
            <w:noWrap/>
            <w:vAlign w:val="bottom"/>
            <w:hideMark/>
          </w:tcPr>
          <w:p w:rsidR="005E7EDE" w:rsidRDefault="005E7EDE" w:rsidP="007B2E99">
            <w:pPr>
              <w:jc w:val="right"/>
              <w:rPr>
                <w:rFonts w:ascii="Tahoma" w:hAnsi="Tahoma" w:cs="Tahoma"/>
                <w:sz w:val="18"/>
                <w:szCs w:val="18"/>
              </w:rPr>
            </w:pPr>
            <w:r>
              <w:rPr>
                <w:rFonts w:ascii="Tahoma" w:hAnsi="Tahoma" w:cs="Tahoma"/>
                <w:sz w:val="18"/>
                <w:szCs w:val="18"/>
              </w:rPr>
              <w:t xml:space="preserve">           (390.000,00)</w:t>
            </w:r>
          </w:p>
        </w:tc>
      </w:tr>
      <w:tr w:rsidR="005E7EDE" w:rsidTr="007B2E99">
        <w:trPr>
          <w:trHeight w:val="360"/>
        </w:trPr>
        <w:tc>
          <w:tcPr>
            <w:tcW w:w="2127" w:type="dxa"/>
            <w:tcBorders>
              <w:top w:val="nil"/>
              <w:left w:val="nil"/>
              <w:bottom w:val="nil"/>
              <w:right w:val="nil"/>
            </w:tcBorders>
            <w:shd w:val="clear" w:color="auto" w:fill="auto"/>
            <w:noWrap/>
            <w:vAlign w:val="bottom"/>
            <w:hideMark/>
          </w:tcPr>
          <w:p w:rsidR="005E7EDE" w:rsidRDefault="005E7EDE" w:rsidP="007B2E99">
            <w:pPr>
              <w:rPr>
                <w:rFonts w:ascii="Tahoma" w:hAnsi="Tahoma" w:cs="Tahoma"/>
                <w:sz w:val="18"/>
                <w:szCs w:val="18"/>
              </w:rPr>
            </w:pPr>
            <w:r>
              <w:rPr>
                <w:rFonts w:ascii="Tahoma" w:hAnsi="Tahoma" w:cs="Tahoma"/>
                <w:sz w:val="18"/>
                <w:szCs w:val="18"/>
              </w:rPr>
              <w:t>Αποτελέσματα χρήσης</w:t>
            </w:r>
          </w:p>
        </w:tc>
        <w:tc>
          <w:tcPr>
            <w:tcW w:w="1701" w:type="dxa"/>
            <w:tcBorders>
              <w:top w:val="nil"/>
              <w:left w:val="nil"/>
              <w:bottom w:val="nil"/>
              <w:right w:val="nil"/>
            </w:tcBorders>
            <w:shd w:val="clear" w:color="auto" w:fill="auto"/>
            <w:noWrap/>
            <w:vAlign w:val="bottom"/>
            <w:hideMark/>
          </w:tcPr>
          <w:p w:rsidR="005E7EDE" w:rsidRDefault="005E7EDE" w:rsidP="007B2E99">
            <w:pPr>
              <w:jc w:val="right"/>
              <w:rPr>
                <w:rFonts w:ascii="Tahoma" w:hAnsi="Tahoma" w:cs="Tahoma"/>
                <w:sz w:val="18"/>
                <w:szCs w:val="18"/>
              </w:rPr>
            </w:pPr>
            <w:r>
              <w:rPr>
                <w:rFonts w:ascii="Tahoma" w:hAnsi="Tahoma" w:cs="Tahoma"/>
                <w:sz w:val="18"/>
                <w:szCs w:val="18"/>
              </w:rPr>
              <w:t>0,00</w:t>
            </w:r>
          </w:p>
        </w:tc>
        <w:tc>
          <w:tcPr>
            <w:tcW w:w="1984" w:type="dxa"/>
            <w:tcBorders>
              <w:top w:val="nil"/>
              <w:left w:val="nil"/>
              <w:bottom w:val="nil"/>
              <w:right w:val="nil"/>
            </w:tcBorders>
            <w:shd w:val="clear" w:color="auto" w:fill="auto"/>
            <w:noWrap/>
            <w:vAlign w:val="bottom"/>
            <w:hideMark/>
          </w:tcPr>
          <w:p w:rsidR="005E7EDE" w:rsidRDefault="005E7EDE" w:rsidP="007B2E99">
            <w:pPr>
              <w:jc w:val="right"/>
              <w:rPr>
                <w:rFonts w:ascii="Tahoma" w:hAnsi="Tahoma" w:cs="Tahoma"/>
                <w:sz w:val="18"/>
                <w:szCs w:val="18"/>
              </w:rPr>
            </w:pPr>
            <w:r>
              <w:rPr>
                <w:rFonts w:ascii="Tahoma" w:hAnsi="Tahoma" w:cs="Tahoma"/>
                <w:sz w:val="18"/>
                <w:szCs w:val="18"/>
              </w:rPr>
              <w:t>0,00</w:t>
            </w:r>
          </w:p>
        </w:tc>
        <w:tc>
          <w:tcPr>
            <w:tcW w:w="1776" w:type="dxa"/>
            <w:tcBorders>
              <w:top w:val="nil"/>
              <w:left w:val="nil"/>
              <w:bottom w:val="nil"/>
              <w:right w:val="nil"/>
            </w:tcBorders>
            <w:shd w:val="clear" w:color="auto" w:fill="auto"/>
            <w:noWrap/>
            <w:vAlign w:val="bottom"/>
            <w:hideMark/>
          </w:tcPr>
          <w:p w:rsidR="005E7EDE" w:rsidRDefault="005E7EDE" w:rsidP="007B2E99">
            <w:pPr>
              <w:jc w:val="right"/>
              <w:rPr>
                <w:rFonts w:ascii="Tahoma" w:hAnsi="Tahoma" w:cs="Tahoma"/>
                <w:sz w:val="18"/>
                <w:szCs w:val="18"/>
              </w:rPr>
            </w:pPr>
            <w:r>
              <w:rPr>
                <w:rFonts w:ascii="Tahoma" w:hAnsi="Tahoma" w:cs="Tahoma"/>
                <w:sz w:val="18"/>
                <w:szCs w:val="18"/>
              </w:rPr>
              <w:t>372.710,45</w:t>
            </w:r>
          </w:p>
        </w:tc>
        <w:tc>
          <w:tcPr>
            <w:tcW w:w="1484" w:type="dxa"/>
            <w:tcBorders>
              <w:top w:val="nil"/>
              <w:left w:val="nil"/>
              <w:bottom w:val="nil"/>
              <w:right w:val="nil"/>
            </w:tcBorders>
            <w:shd w:val="clear" w:color="auto" w:fill="auto"/>
            <w:noWrap/>
            <w:vAlign w:val="bottom"/>
            <w:hideMark/>
          </w:tcPr>
          <w:p w:rsidR="005E7EDE" w:rsidRDefault="005E7EDE" w:rsidP="007B2E99">
            <w:pPr>
              <w:jc w:val="right"/>
              <w:rPr>
                <w:rFonts w:ascii="Tahoma" w:hAnsi="Tahoma" w:cs="Tahoma"/>
                <w:sz w:val="18"/>
                <w:szCs w:val="18"/>
              </w:rPr>
            </w:pPr>
            <w:r>
              <w:rPr>
                <w:rFonts w:ascii="Tahoma" w:hAnsi="Tahoma" w:cs="Tahoma"/>
                <w:sz w:val="18"/>
                <w:szCs w:val="18"/>
              </w:rPr>
              <w:t>372.710,45</w:t>
            </w:r>
          </w:p>
        </w:tc>
      </w:tr>
      <w:tr w:rsidR="005E7EDE" w:rsidTr="007B2E99">
        <w:trPr>
          <w:trHeight w:val="360"/>
        </w:trPr>
        <w:tc>
          <w:tcPr>
            <w:tcW w:w="2127" w:type="dxa"/>
            <w:tcBorders>
              <w:top w:val="nil"/>
              <w:left w:val="nil"/>
              <w:bottom w:val="nil"/>
              <w:right w:val="nil"/>
            </w:tcBorders>
            <w:shd w:val="clear" w:color="auto" w:fill="auto"/>
            <w:noWrap/>
            <w:vAlign w:val="bottom"/>
            <w:hideMark/>
          </w:tcPr>
          <w:p w:rsidR="005E7EDE" w:rsidRDefault="005E7EDE" w:rsidP="007B2E99">
            <w:pPr>
              <w:rPr>
                <w:rFonts w:ascii="Tahoma" w:hAnsi="Tahoma" w:cs="Tahoma"/>
                <w:sz w:val="18"/>
                <w:szCs w:val="18"/>
              </w:rPr>
            </w:pPr>
            <w:r>
              <w:rPr>
                <w:rFonts w:ascii="Tahoma" w:hAnsi="Tahoma" w:cs="Tahoma"/>
                <w:sz w:val="18"/>
                <w:szCs w:val="18"/>
              </w:rPr>
              <w:t xml:space="preserve"> 31η Δεκεμβρίου 2018</w:t>
            </w:r>
          </w:p>
        </w:tc>
        <w:tc>
          <w:tcPr>
            <w:tcW w:w="1701" w:type="dxa"/>
            <w:tcBorders>
              <w:top w:val="single" w:sz="4" w:space="0" w:color="auto"/>
              <w:left w:val="nil"/>
              <w:bottom w:val="double" w:sz="6" w:space="0" w:color="auto"/>
              <w:right w:val="nil"/>
            </w:tcBorders>
            <w:shd w:val="clear" w:color="auto" w:fill="auto"/>
            <w:noWrap/>
            <w:vAlign w:val="bottom"/>
            <w:hideMark/>
          </w:tcPr>
          <w:p w:rsidR="005E7EDE" w:rsidRDefault="005E7EDE" w:rsidP="007B2E99">
            <w:pPr>
              <w:jc w:val="right"/>
              <w:rPr>
                <w:rFonts w:ascii="Tahoma" w:hAnsi="Tahoma" w:cs="Tahoma"/>
                <w:b/>
                <w:bCs/>
                <w:sz w:val="18"/>
                <w:szCs w:val="18"/>
              </w:rPr>
            </w:pPr>
            <w:r>
              <w:rPr>
                <w:rFonts w:ascii="Tahoma" w:hAnsi="Tahoma" w:cs="Tahoma"/>
                <w:b/>
                <w:bCs/>
                <w:sz w:val="18"/>
                <w:szCs w:val="18"/>
              </w:rPr>
              <w:t>330.100,00</w:t>
            </w:r>
          </w:p>
        </w:tc>
        <w:tc>
          <w:tcPr>
            <w:tcW w:w="1984" w:type="dxa"/>
            <w:tcBorders>
              <w:top w:val="single" w:sz="4" w:space="0" w:color="auto"/>
              <w:left w:val="nil"/>
              <w:bottom w:val="double" w:sz="6" w:space="0" w:color="auto"/>
              <w:right w:val="nil"/>
            </w:tcBorders>
            <w:shd w:val="clear" w:color="auto" w:fill="auto"/>
            <w:noWrap/>
            <w:vAlign w:val="bottom"/>
            <w:hideMark/>
          </w:tcPr>
          <w:p w:rsidR="005E7EDE" w:rsidRDefault="005E7EDE" w:rsidP="007B2E99">
            <w:pPr>
              <w:jc w:val="right"/>
              <w:rPr>
                <w:rFonts w:ascii="Tahoma" w:hAnsi="Tahoma" w:cs="Tahoma"/>
                <w:b/>
                <w:bCs/>
                <w:sz w:val="18"/>
                <w:szCs w:val="18"/>
              </w:rPr>
            </w:pPr>
            <w:r>
              <w:rPr>
                <w:rFonts w:ascii="Tahoma" w:hAnsi="Tahoma" w:cs="Tahoma"/>
                <w:b/>
                <w:bCs/>
                <w:sz w:val="18"/>
                <w:szCs w:val="18"/>
              </w:rPr>
              <w:t>199.154,69</w:t>
            </w:r>
          </w:p>
        </w:tc>
        <w:tc>
          <w:tcPr>
            <w:tcW w:w="1776" w:type="dxa"/>
            <w:tcBorders>
              <w:top w:val="single" w:sz="4" w:space="0" w:color="auto"/>
              <w:left w:val="nil"/>
              <w:bottom w:val="double" w:sz="6" w:space="0" w:color="auto"/>
              <w:right w:val="nil"/>
            </w:tcBorders>
            <w:shd w:val="clear" w:color="auto" w:fill="auto"/>
            <w:noWrap/>
            <w:vAlign w:val="bottom"/>
            <w:hideMark/>
          </w:tcPr>
          <w:p w:rsidR="005E7EDE" w:rsidRDefault="005E7EDE" w:rsidP="007B2E99">
            <w:pPr>
              <w:jc w:val="right"/>
              <w:rPr>
                <w:rFonts w:ascii="Tahoma" w:hAnsi="Tahoma" w:cs="Tahoma"/>
                <w:b/>
                <w:bCs/>
                <w:sz w:val="18"/>
                <w:szCs w:val="18"/>
              </w:rPr>
            </w:pPr>
            <w:r>
              <w:rPr>
                <w:rFonts w:ascii="Tahoma" w:hAnsi="Tahoma" w:cs="Tahoma"/>
                <w:b/>
                <w:bCs/>
                <w:sz w:val="18"/>
                <w:szCs w:val="18"/>
              </w:rPr>
              <w:t xml:space="preserve">       1.730.011,70 </w:t>
            </w:r>
          </w:p>
        </w:tc>
        <w:tc>
          <w:tcPr>
            <w:tcW w:w="1484" w:type="dxa"/>
            <w:tcBorders>
              <w:top w:val="single" w:sz="4" w:space="0" w:color="auto"/>
              <w:left w:val="nil"/>
              <w:bottom w:val="double" w:sz="6" w:space="0" w:color="auto"/>
              <w:right w:val="nil"/>
            </w:tcBorders>
            <w:shd w:val="clear" w:color="auto" w:fill="auto"/>
            <w:noWrap/>
            <w:vAlign w:val="bottom"/>
            <w:hideMark/>
          </w:tcPr>
          <w:p w:rsidR="005E7EDE" w:rsidRDefault="005E7EDE" w:rsidP="007B2E99">
            <w:pPr>
              <w:jc w:val="right"/>
              <w:rPr>
                <w:rFonts w:ascii="Tahoma" w:hAnsi="Tahoma" w:cs="Tahoma"/>
                <w:b/>
                <w:bCs/>
                <w:sz w:val="18"/>
                <w:szCs w:val="18"/>
              </w:rPr>
            </w:pPr>
            <w:r>
              <w:rPr>
                <w:rFonts w:ascii="Tahoma" w:hAnsi="Tahoma" w:cs="Tahoma"/>
                <w:b/>
                <w:bCs/>
                <w:sz w:val="18"/>
                <w:szCs w:val="18"/>
              </w:rPr>
              <w:t xml:space="preserve">        2.259.266,39 </w:t>
            </w:r>
          </w:p>
        </w:tc>
      </w:tr>
    </w:tbl>
    <w:p w:rsidR="005E7EDE" w:rsidRPr="00485A4C" w:rsidRDefault="005E7EDE" w:rsidP="00480197">
      <w:pPr>
        <w:ind w:left="-539"/>
        <w:jc w:val="both"/>
        <w:rPr>
          <w:rFonts w:ascii="Tahoma" w:hAnsi="Tahoma" w:cs="Tahoma"/>
          <w:sz w:val="22"/>
          <w:szCs w:val="22"/>
        </w:rPr>
      </w:pPr>
    </w:p>
    <w:p w:rsidR="00A75EB0" w:rsidRDefault="00A75EB0" w:rsidP="002F7A73">
      <w:pPr>
        <w:ind w:left="-993"/>
        <w:jc w:val="both"/>
        <w:rPr>
          <w:rFonts w:ascii="Tahoma" w:hAnsi="Tahoma" w:cs="Tahoma"/>
          <w:sz w:val="22"/>
          <w:szCs w:val="22"/>
          <w:lang w:val="en-US"/>
        </w:rPr>
      </w:pPr>
    </w:p>
    <w:p w:rsidR="005E7EDE" w:rsidRDefault="005E7EDE" w:rsidP="002F7A73">
      <w:pPr>
        <w:ind w:left="-993"/>
        <w:jc w:val="both"/>
        <w:rPr>
          <w:rFonts w:ascii="Tahoma" w:hAnsi="Tahoma" w:cs="Tahoma"/>
          <w:sz w:val="22"/>
          <w:szCs w:val="22"/>
          <w:lang w:val="en-US"/>
        </w:rPr>
      </w:pPr>
    </w:p>
    <w:p w:rsidR="005E7EDE" w:rsidRPr="00485A4C" w:rsidRDefault="005E7EDE" w:rsidP="002F7A73">
      <w:pPr>
        <w:ind w:left="-993"/>
        <w:jc w:val="both"/>
        <w:rPr>
          <w:rFonts w:ascii="Tahoma" w:hAnsi="Tahoma" w:cs="Tahoma"/>
          <w:sz w:val="22"/>
          <w:szCs w:val="22"/>
        </w:rPr>
      </w:pPr>
    </w:p>
    <w:p w:rsidR="00B039AA" w:rsidRPr="00485A4C" w:rsidRDefault="00B039AA" w:rsidP="00480197">
      <w:pPr>
        <w:jc w:val="both"/>
        <w:rPr>
          <w:rFonts w:ascii="Tahoma" w:hAnsi="Tahoma" w:cs="Tahoma"/>
          <w:sz w:val="22"/>
          <w:szCs w:val="22"/>
        </w:rPr>
      </w:pPr>
    </w:p>
    <w:p w:rsidR="00480197" w:rsidRPr="00485A4C" w:rsidRDefault="0020008D" w:rsidP="00480197">
      <w:pPr>
        <w:pStyle w:val="Heading2"/>
        <w:spacing w:before="0" w:after="0" w:line="360" w:lineRule="auto"/>
        <w:ind w:left="-540"/>
        <w:rPr>
          <w:rFonts w:ascii="Tahoma" w:hAnsi="Tahoma" w:cs="Tahoma"/>
          <w:i w:val="0"/>
          <w:sz w:val="22"/>
          <w:szCs w:val="22"/>
          <w:lang w:val="el-GR"/>
        </w:rPr>
      </w:pPr>
      <w:bookmarkStart w:id="42" w:name="_Toc178753443"/>
      <w:bookmarkStart w:id="43" w:name="_Toc526260611"/>
      <w:r w:rsidRPr="00485A4C">
        <w:rPr>
          <w:rFonts w:ascii="Tahoma" w:hAnsi="Tahoma" w:cs="Tahoma"/>
          <w:i w:val="0"/>
          <w:sz w:val="22"/>
          <w:szCs w:val="22"/>
          <w:lang w:val="el-GR"/>
        </w:rPr>
        <w:t>7</w:t>
      </w:r>
      <w:r w:rsidR="00230E8E" w:rsidRPr="00485A4C">
        <w:rPr>
          <w:rFonts w:ascii="Tahoma" w:hAnsi="Tahoma" w:cs="Tahoma"/>
          <w:i w:val="0"/>
          <w:sz w:val="22"/>
          <w:szCs w:val="22"/>
        </w:rPr>
        <w:t>.1</w:t>
      </w:r>
      <w:r w:rsidR="00BE65F3" w:rsidRPr="00485A4C">
        <w:rPr>
          <w:rFonts w:ascii="Tahoma" w:hAnsi="Tahoma" w:cs="Tahoma"/>
          <w:i w:val="0"/>
          <w:sz w:val="22"/>
          <w:szCs w:val="22"/>
        </w:rPr>
        <w:t>0</w:t>
      </w:r>
      <w:r w:rsidR="00480197" w:rsidRPr="00485A4C">
        <w:rPr>
          <w:rFonts w:ascii="Tahoma" w:hAnsi="Tahoma" w:cs="Tahoma"/>
          <w:i w:val="0"/>
          <w:sz w:val="22"/>
          <w:szCs w:val="22"/>
        </w:rPr>
        <w:t>.  Προβλέψεις για παροχές στους εργαζόμενους</w:t>
      </w:r>
      <w:bookmarkEnd w:id="42"/>
      <w:bookmarkEnd w:id="43"/>
    </w:p>
    <w:p w:rsidR="00081D9C" w:rsidRPr="00485A4C" w:rsidRDefault="00081D9C" w:rsidP="00081D9C">
      <w:pPr>
        <w:rPr>
          <w:rFonts w:ascii="Tahoma" w:hAnsi="Tahoma" w:cs="Tahoma"/>
          <w:highlight w:val="red"/>
          <w:lang w:eastAsia="x-none"/>
        </w:rPr>
      </w:pPr>
    </w:p>
    <w:p w:rsidR="00AC5445" w:rsidRPr="00485A4C" w:rsidRDefault="00AC5445" w:rsidP="00AC5445">
      <w:pPr>
        <w:spacing w:line="360" w:lineRule="auto"/>
        <w:ind w:left="-540"/>
        <w:jc w:val="both"/>
        <w:rPr>
          <w:rFonts w:ascii="Tahoma" w:hAnsi="Tahoma" w:cs="Tahoma"/>
          <w:sz w:val="22"/>
          <w:szCs w:val="22"/>
        </w:rPr>
      </w:pPr>
      <w:r w:rsidRPr="00485A4C">
        <w:rPr>
          <w:rFonts w:ascii="Tahoma" w:hAnsi="Tahoma" w:cs="Tahoma"/>
          <w:sz w:val="22"/>
          <w:szCs w:val="22"/>
          <w:u w:val="single"/>
        </w:rPr>
        <w:t>(α) Σύνταξη:</w:t>
      </w:r>
      <w:r w:rsidRPr="00485A4C">
        <w:rPr>
          <w:rFonts w:ascii="Tahoma" w:hAnsi="Tahoma" w:cs="Tahoma"/>
          <w:sz w:val="22"/>
          <w:szCs w:val="22"/>
        </w:rPr>
        <w:t xml:space="preserve"> Οι υπάλληλοι </w:t>
      </w:r>
      <w:r w:rsidR="001C62AA" w:rsidRPr="00485A4C">
        <w:rPr>
          <w:rFonts w:ascii="Tahoma" w:hAnsi="Tahoma" w:cs="Tahoma"/>
          <w:sz w:val="22"/>
          <w:szCs w:val="22"/>
        </w:rPr>
        <w:t>τ</w:t>
      </w:r>
      <w:r w:rsidR="00081D9C" w:rsidRPr="00485A4C">
        <w:rPr>
          <w:rFonts w:ascii="Tahoma" w:hAnsi="Tahoma" w:cs="Tahoma"/>
          <w:sz w:val="22"/>
          <w:szCs w:val="22"/>
        </w:rPr>
        <w:t>ης</w:t>
      </w:r>
      <w:r w:rsidR="001C62AA" w:rsidRPr="00485A4C">
        <w:rPr>
          <w:rFonts w:ascii="Tahoma" w:hAnsi="Tahoma" w:cs="Tahoma"/>
          <w:sz w:val="22"/>
          <w:szCs w:val="22"/>
        </w:rPr>
        <w:t xml:space="preserve"> </w:t>
      </w:r>
      <w:r w:rsidR="00081D9C" w:rsidRPr="00485A4C">
        <w:rPr>
          <w:rFonts w:ascii="Tahoma" w:hAnsi="Tahoma" w:cs="Tahoma"/>
          <w:sz w:val="22"/>
          <w:szCs w:val="22"/>
        </w:rPr>
        <w:t>εταιρείας</w:t>
      </w:r>
      <w:r w:rsidRPr="00485A4C">
        <w:rPr>
          <w:rFonts w:ascii="Tahoma" w:hAnsi="Tahoma" w:cs="Tahoma"/>
          <w:sz w:val="22"/>
          <w:szCs w:val="22"/>
        </w:rPr>
        <w:t xml:space="preserve"> καλύπτονται </w:t>
      </w:r>
      <w:r w:rsidR="00452B0D" w:rsidRPr="00485A4C">
        <w:rPr>
          <w:rFonts w:ascii="Tahoma" w:hAnsi="Tahoma" w:cs="Tahoma"/>
          <w:sz w:val="22"/>
          <w:szCs w:val="22"/>
        </w:rPr>
        <w:t xml:space="preserve">από </w:t>
      </w:r>
      <w:r w:rsidRPr="00485A4C">
        <w:rPr>
          <w:rFonts w:ascii="Tahoma" w:hAnsi="Tahoma" w:cs="Tahoma"/>
          <w:sz w:val="22"/>
          <w:szCs w:val="22"/>
        </w:rPr>
        <w:t>συνταξιοδοτικ</w:t>
      </w:r>
      <w:r w:rsidR="009A0324" w:rsidRPr="00485A4C">
        <w:rPr>
          <w:rFonts w:ascii="Tahoma" w:hAnsi="Tahoma" w:cs="Tahoma"/>
          <w:sz w:val="22"/>
          <w:szCs w:val="22"/>
        </w:rPr>
        <w:t>ό</w:t>
      </w:r>
      <w:r w:rsidRPr="00485A4C">
        <w:rPr>
          <w:rFonts w:ascii="Tahoma" w:hAnsi="Tahoma" w:cs="Tahoma"/>
          <w:sz w:val="22"/>
          <w:szCs w:val="22"/>
        </w:rPr>
        <w:t xml:space="preserve"> ταμεί</w:t>
      </w:r>
      <w:r w:rsidR="009A0324" w:rsidRPr="00485A4C">
        <w:rPr>
          <w:rFonts w:ascii="Tahoma" w:hAnsi="Tahoma" w:cs="Tahoma"/>
          <w:sz w:val="22"/>
          <w:szCs w:val="22"/>
        </w:rPr>
        <w:t>ο</w:t>
      </w:r>
      <w:r w:rsidR="00452B0D" w:rsidRPr="00485A4C">
        <w:rPr>
          <w:rFonts w:ascii="Tahoma" w:hAnsi="Tahoma" w:cs="Tahoma"/>
          <w:sz w:val="22"/>
          <w:szCs w:val="22"/>
        </w:rPr>
        <w:t xml:space="preserve"> υποστηριζόμεν</w:t>
      </w:r>
      <w:r w:rsidR="00452B0D" w:rsidRPr="00485A4C">
        <w:rPr>
          <w:rFonts w:ascii="Tahoma" w:hAnsi="Tahoma" w:cs="Tahoma"/>
          <w:sz w:val="22"/>
          <w:szCs w:val="22"/>
          <w:lang w:val="en-US"/>
        </w:rPr>
        <w:t>o</w:t>
      </w:r>
      <w:r w:rsidR="00452B0D" w:rsidRPr="00485A4C">
        <w:rPr>
          <w:rFonts w:ascii="Tahoma" w:hAnsi="Tahoma" w:cs="Tahoma"/>
          <w:sz w:val="22"/>
          <w:szCs w:val="22"/>
        </w:rPr>
        <w:t xml:space="preserve"> από το Ελληνικό κράτος</w:t>
      </w:r>
      <w:r w:rsidRPr="00485A4C">
        <w:rPr>
          <w:rFonts w:ascii="Tahoma" w:hAnsi="Tahoma" w:cs="Tahoma"/>
          <w:sz w:val="22"/>
          <w:szCs w:val="22"/>
        </w:rPr>
        <w:t>. Κάθε υπάλληλος απαιτείται να καταβάλει ένα ποσό του μηνιαίου μισθού του στο ταμείο, μαζί με τ</w:t>
      </w:r>
      <w:r w:rsidR="00081D9C" w:rsidRPr="00485A4C">
        <w:rPr>
          <w:rFonts w:ascii="Tahoma" w:hAnsi="Tahoma" w:cs="Tahoma"/>
          <w:sz w:val="22"/>
          <w:szCs w:val="22"/>
        </w:rPr>
        <w:t>η</w:t>
      </w:r>
      <w:r w:rsidRPr="00485A4C">
        <w:rPr>
          <w:rFonts w:ascii="Tahoma" w:hAnsi="Tahoma" w:cs="Tahoma"/>
          <w:sz w:val="22"/>
          <w:szCs w:val="22"/>
        </w:rPr>
        <w:t xml:space="preserve">ν </w:t>
      </w:r>
      <w:r w:rsidR="00081D9C" w:rsidRPr="00485A4C">
        <w:rPr>
          <w:rFonts w:ascii="Tahoma" w:hAnsi="Tahoma" w:cs="Tahoma"/>
          <w:sz w:val="22"/>
          <w:szCs w:val="22"/>
        </w:rPr>
        <w:t>εταιρεία</w:t>
      </w:r>
      <w:r w:rsidRPr="00485A4C">
        <w:rPr>
          <w:rFonts w:ascii="Tahoma" w:hAnsi="Tahoma" w:cs="Tahoma"/>
          <w:sz w:val="22"/>
          <w:szCs w:val="22"/>
        </w:rPr>
        <w:t xml:space="preserve"> που καταβάλει επίσης ένα ποσό. Κατά την αποχώρηση, το συνταξιοδοτικό ταμείο είναι αρμόδιο για την πληρωμή των συντάξεων των υπαλλήλων. Έτσι, </w:t>
      </w:r>
      <w:r w:rsidR="00081D9C" w:rsidRPr="00485A4C">
        <w:rPr>
          <w:rFonts w:ascii="Tahoma" w:hAnsi="Tahoma" w:cs="Tahoma"/>
          <w:sz w:val="22"/>
          <w:szCs w:val="22"/>
        </w:rPr>
        <w:t>η εταιρεία</w:t>
      </w:r>
      <w:r w:rsidRPr="00485A4C">
        <w:rPr>
          <w:rFonts w:ascii="Tahoma" w:hAnsi="Tahoma" w:cs="Tahoma"/>
          <w:sz w:val="22"/>
          <w:szCs w:val="22"/>
        </w:rPr>
        <w:t xml:space="preserve"> δεν έχει καμία νομική υποχρέωση να πληρώσει μελλοντικές παροχές στο πλαίσιο αυτού του σχεδίου. Οι εισφορές προς τα ασφαλιστικά ταμεία για τ</w:t>
      </w:r>
      <w:r w:rsidR="001C62AA" w:rsidRPr="00485A4C">
        <w:rPr>
          <w:rFonts w:ascii="Tahoma" w:hAnsi="Tahoma" w:cs="Tahoma"/>
          <w:sz w:val="22"/>
          <w:szCs w:val="22"/>
        </w:rPr>
        <w:t>ην</w:t>
      </w:r>
      <w:r w:rsidRPr="00485A4C">
        <w:rPr>
          <w:rFonts w:ascii="Tahoma" w:hAnsi="Tahoma" w:cs="Tahoma"/>
          <w:sz w:val="22"/>
          <w:szCs w:val="22"/>
        </w:rPr>
        <w:t xml:space="preserve"> χρήσ</w:t>
      </w:r>
      <w:r w:rsidR="001C62AA" w:rsidRPr="00485A4C">
        <w:rPr>
          <w:rFonts w:ascii="Tahoma" w:hAnsi="Tahoma" w:cs="Tahoma"/>
          <w:sz w:val="22"/>
          <w:szCs w:val="22"/>
        </w:rPr>
        <w:t>η</w:t>
      </w:r>
      <w:r w:rsidRPr="00485A4C">
        <w:rPr>
          <w:rFonts w:ascii="Tahoma" w:hAnsi="Tahoma" w:cs="Tahoma"/>
          <w:sz w:val="22"/>
          <w:szCs w:val="22"/>
        </w:rPr>
        <w:t xml:space="preserve"> που έληξ</w:t>
      </w:r>
      <w:r w:rsidR="001C62AA" w:rsidRPr="00485A4C">
        <w:rPr>
          <w:rFonts w:ascii="Tahoma" w:hAnsi="Tahoma" w:cs="Tahoma"/>
          <w:sz w:val="22"/>
          <w:szCs w:val="22"/>
        </w:rPr>
        <w:t>ε</w:t>
      </w:r>
      <w:r w:rsidRPr="00485A4C">
        <w:rPr>
          <w:rFonts w:ascii="Tahoma" w:hAnsi="Tahoma" w:cs="Tahoma"/>
          <w:sz w:val="22"/>
          <w:szCs w:val="22"/>
        </w:rPr>
        <w:t xml:space="preserve"> την 3</w:t>
      </w:r>
      <w:r w:rsidR="001C62AA" w:rsidRPr="00485A4C">
        <w:rPr>
          <w:rFonts w:ascii="Tahoma" w:hAnsi="Tahoma" w:cs="Tahoma"/>
          <w:sz w:val="22"/>
          <w:szCs w:val="22"/>
        </w:rPr>
        <w:t>1/12/</w:t>
      </w:r>
      <w:r w:rsidRPr="00485A4C">
        <w:rPr>
          <w:rFonts w:ascii="Tahoma" w:hAnsi="Tahoma" w:cs="Tahoma"/>
          <w:sz w:val="22"/>
          <w:szCs w:val="22"/>
        </w:rPr>
        <w:t>20</w:t>
      </w:r>
      <w:r w:rsidR="00D56E69" w:rsidRPr="00485A4C">
        <w:rPr>
          <w:rFonts w:ascii="Tahoma" w:hAnsi="Tahoma" w:cs="Tahoma"/>
          <w:sz w:val="22"/>
          <w:szCs w:val="22"/>
        </w:rPr>
        <w:t>1</w:t>
      </w:r>
      <w:r w:rsidR="005E7EDE">
        <w:rPr>
          <w:rFonts w:ascii="Tahoma" w:hAnsi="Tahoma" w:cs="Tahoma"/>
          <w:sz w:val="22"/>
          <w:szCs w:val="22"/>
        </w:rPr>
        <w:t>8</w:t>
      </w:r>
      <w:r w:rsidRPr="00485A4C">
        <w:rPr>
          <w:rFonts w:ascii="Tahoma" w:hAnsi="Tahoma" w:cs="Tahoma"/>
          <w:sz w:val="22"/>
          <w:szCs w:val="22"/>
        </w:rPr>
        <w:t xml:space="preserve"> καταχωρήθηκαν στα αποτελέσματα χρήσης και ανήλθαν σε </w:t>
      </w:r>
      <w:r w:rsidRPr="00565878">
        <w:rPr>
          <w:rFonts w:ascii="Tahoma" w:hAnsi="Tahoma" w:cs="Tahoma"/>
          <w:sz w:val="22"/>
          <w:szCs w:val="22"/>
        </w:rPr>
        <w:t>€</w:t>
      </w:r>
      <w:r w:rsidR="00081D9C" w:rsidRPr="00565878">
        <w:rPr>
          <w:rFonts w:ascii="Tahoma" w:hAnsi="Tahoma" w:cs="Tahoma"/>
          <w:sz w:val="22"/>
          <w:szCs w:val="22"/>
        </w:rPr>
        <w:t xml:space="preserve"> </w:t>
      </w:r>
      <w:r w:rsidR="00565878" w:rsidRPr="00565878">
        <w:rPr>
          <w:rFonts w:ascii="Tahoma" w:hAnsi="Tahoma" w:cs="Tahoma"/>
          <w:sz w:val="22"/>
          <w:szCs w:val="22"/>
        </w:rPr>
        <w:t>90.254,19</w:t>
      </w:r>
      <w:r w:rsidRPr="00565878">
        <w:rPr>
          <w:rFonts w:ascii="Tahoma" w:hAnsi="Tahoma" w:cs="Tahoma"/>
          <w:sz w:val="22"/>
          <w:szCs w:val="22"/>
        </w:rPr>
        <w:t>.</w:t>
      </w:r>
      <w:r w:rsidRPr="00485A4C">
        <w:rPr>
          <w:rFonts w:ascii="Tahoma" w:hAnsi="Tahoma" w:cs="Tahoma"/>
          <w:sz w:val="22"/>
          <w:szCs w:val="22"/>
        </w:rPr>
        <w:t xml:space="preserve"> </w:t>
      </w:r>
    </w:p>
    <w:p w:rsidR="00AC5445" w:rsidRPr="00485A4C" w:rsidRDefault="00AC5445" w:rsidP="00AC5445">
      <w:pPr>
        <w:spacing w:line="360" w:lineRule="auto"/>
        <w:ind w:left="-540"/>
        <w:jc w:val="both"/>
        <w:rPr>
          <w:rFonts w:ascii="Tahoma" w:hAnsi="Tahoma" w:cs="Tahoma"/>
          <w:sz w:val="22"/>
          <w:szCs w:val="22"/>
        </w:rPr>
      </w:pPr>
      <w:r w:rsidRPr="00485A4C">
        <w:rPr>
          <w:rFonts w:ascii="Tahoma" w:hAnsi="Tahoma" w:cs="Tahoma"/>
          <w:sz w:val="22"/>
          <w:szCs w:val="22"/>
        </w:rPr>
        <w:t>(</w:t>
      </w:r>
      <w:r w:rsidRPr="00485A4C">
        <w:rPr>
          <w:rFonts w:ascii="Tahoma" w:hAnsi="Tahoma" w:cs="Tahoma"/>
          <w:sz w:val="22"/>
          <w:szCs w:val="22"/>
          <w:u w:val="single"/>
        </w:rPr>
        <w:t>β) Αποζημιώσεις αποχώρησης προσωπικού:</w:t>
      </w:r>
      <w:r w:rsidRPr="00485A4C">
        <w:rPr>
          <w:rFonts w:ascii="Tahoma" w:hAnsi="Tahoma" w:cs="Tahoma"/>
          <w:sz w:val="22"/>
          <w:szCs w:val="22"/>
        </w:rPr>
        <w:t xml:space="preserve"> Σύμφωνα με το ελληνικό εργατικό δίκαιο κάθε εργαζόμενος δικαιούται εφάπαξ αποζημίωση σε περίπτωση απολύσεως ή συνταξιοδοτήσεως. Το ποσό της αποζημιώσεως εξαρτάται από το χρόνο προϋπηρεσίας και τις αποδοχές του εργαζόμενου την ημέρα της απολύσεως ή συνταξιοδοτήσεώς του. Αν ο εργαζόμενος παραμείνει στην εταιρία μέχρι να συνταξιοδοτηθεί κανονικά, δικαιούται ποσό εφάπαξ ίσο με το 40% της αποζημιώσεως που θα έπαιρνε αν απολυόταν την ίδια μέρα. Ο ελληνικός εμπορικός νόμος, προβλέπει ότι οι εταιρίες θα πρέπει να σχηματίζουν πρόβλεψη που αφορά το σύνολο του προσωπικού και τουλάχιστον για την υποχρέωση που δημιουργείται επί αποχωρήσεως λόγω συνταξιοδοτήσεως (40% της συνολικής υποχρεώσεως).</w:t>
      </w:r>
    </w:p>
    <w:p w:rsidR="00480197" w:rsidRPr="00485A4C" w:rsidRDefault="003031BE" w:rsidP="00480197">
      <w:pPr>
        <w:spacing w:line="360" w:lineRule="auto"/>
        <w:ind w:left="-540"/>
        <w:jc w:val="both"/>
        <w:rPr>
          <w:rFonts w:ascii="Tahoma" w:hAnsi="Tahoma" w:cs="Tahoma"/>
          <w:sz w:val="22"/>
          <w:szCs w:val="22"/>
        </w:rPr>
      </w:pPr>
      <w:r w:rsidRPr="00485A4C">
        <w:rPr>
          <w:rFonts w:ascii="Tahoma" w:hAnsi="Tahoma" w:cs="Tahoma"/>
          <w:sz w:val="22"/>
          <w:szCs w:val="22"/>
        </w:rPr>
        <w:t>Με βάσει το Δ.Λ.Π. 19 η εταιρεία θα έπρεπε να είχε σχηματίσει πρόβλεψη με βάσει αναλογιστική μελέτη. Όμως λόγω του ότι η όποια διαφορά μεταξύ της σχηματισθείσας πρόβλεψης και αυτής που θα προέκυπτε από την αναλογιστική μελέτη δεν θα ήταν σημαντική, δεν διενεργήθηκε αναλογιστική μελέτη.</w:t>
      </w:r>
    </w:p>
    <w:p w:rsidR="00480197" w:rsidRDefault="00480197" w:rsidP="00480197">
      <w:pPr>
        <w:spacing w:line="360" w:lineRule="auto"/>
        <w:ind w:left="-540"/>
        <w:rPr>
          <w:rFonts w:ascii="Tahoma" w:hAnsi="Tahoma" w:cs="Tahoma"/>
          <w:sz w:val="22"/>
          <w:szCs w:val="22"/>
        </w:rPr>
      </w:pPr>
      <w:r w:rsidRPr="00485A4C">
        <w:rPr>
          <w:rFonts w:ascii="Tahoma" w:hAnsi="Tahoma" w:cs="Tahoma"/>
          <w:sz w:val="22"/>
          <w:szCs w:val="22"/>
        </w:rPr>
        <w:lastRenderedPageBreak/>
        <w:t>Η σχετική υποχρέωση της Εταιρείας, αναλύεται ως εξής:</w:t>
      </w:r>
    </w:p>
    <w:p w:rsidR="005E7EDE" w:rsidRDefault="005E7EDE" w:rsidP="00480197">
      <w:pPr>
        <w:spacing w:line="360" w:lineRule="auto"/>
        <w:ind w:left="-540"/>
        <w:rPr>
          <w:rFonts w:ascii="Tahoma" w:hAnsi="Tahoma" w:cs="Tahoma"/>
          <w:sz w:val="22"/>
          <w:szCs w:val="22"/>
        </w:rPr>
      </w:pPr>
    </w:p>
    <w:tbl>
      <w:tblPr>
        <w:tblpPr w:leftFromText="180" w:rightFromText="180" w:vertAnchor="text" w:horzAnchor="margin" w:tblpXSpec="center" w:tblpY="113"/>
        <w:tblW w:w="9300" w:type="dxa"/>
        <w:tblLook w:val="04A0" w:firstRow="1" w:lastRow="0" w:firstColumn="1" w:lastColumn="0" w:noHBand="0" w:noVBand="1"/>
      </w:tblPr>
      <w:tblGrid>
        <w:gridCol w:w="3176"/>
        <w:gridCol w:w="2873"/>
        <w:gridCol w:w="3251"/>
      </w:tblGrid>
      <w:tr w:rsidR="005E7EDE" w:rsidTr="005E7EDE">
        <w:trPr>
          <w:trHeight w:val="264"/>
        </w:trPr>
        <w:tc>
          <w:tcPr>
            <w:tcW w:w="3176" w:type="dxa"/>
            <w:tcBorders>
              <w:top w:val="nil"/>
              <w:left w:val="nil"/>
              <w:bottom w:val="nil"/>
              <w:right w:val="nil"/>
            </w:tcBorders>
            <w:shd w:val="clear" w:color="000000" w:fill="E6E6E6"/>
            <w:noWrap/>
            <w:vAlign w:val="bottom"/>
            <w:hideMark/>
          </w:tcPr>
          <w:p w:rsidR="005E7EDE" w:rsidRDefault="005E7EDE" w:rsidP="005E7EDE">
            <w:pPr>
              <w:rPr>
                <w:rFonts w:ascii="Tahoma" w:hAnsi="Tahoma" w:cs="Tahoma"/>
                <w:sz w:val="18"/>
                <w:szCs w:val="18"/>
              </w:rPr>
            </w:pPr>
            <w:r>
              <w:rPr>
                <w:rFonts w:ascii="Tahoma" w:hAnsi="Tahoma" w:cs="Tahoma"/>
                <w:sz w:val="18"/>
                <w:szCs w:val="18"/>
              </w:rPr>
              <w:t> </w:t>
            </w:r>
          </w:p>
        </w:tc>
        <w:tc>
          <w:tcPr>
            <w:tcW w:w="6124" w:type="dxa"/>
            <w:gridSpan w:val="2"/>
            <w:tcBorders>
              <w:top w:val="nil"/>
              <w:left w:val="nil"/>
              <w:bottom w:val="nil"/>
              <w:right w:val="nil"/>
            </w:tcBorders>
            <w:shd w:val="clear" w:color="000000" w:fill="E6E6E6"/>
            <w:vAlign w:val="bottom"/>
            <w:hideMark/>
          </w:tcPr>
          <w:p w:rsidR="005E7EDE" w:rsidRDefault="005E7EDE" w:rsidP="005E7EDE">
            <w:pPr>
              <w:jc w:val="center"/>
              <w:rPr>
                <w:rFonts w:ascii="Tahoma" w:hAnsi="Tahoma" w:cs="Tahoma"/>
                <w:b/>
                <w:bCs/>
                <w:sz w:val="18"/>
                <w:szCs w:val="18"/>
              </w:rPr>
            </w:pPr>
            <w:r>
              <w:rPr>
                <w:rFonts w:ascii="Tahoma" w:hAnsi="Tahoma" w:cs="Tahoma"/>
                <w:b/>
                <w:bCs/>
                <w:sz w:val="18"/>
                <w:szCs w:val="18"/>
              </w:rPr>
              <w:t>Εταιρεία</w:t>
            </w:r>
          </w:p>
        </w:tc>
      </w:tr>
      <w:tr w:rsidR="005E7EDE" w:rsidTr="005E7EDE">
        <w:trPr>
          <w:trHeight w:val="264"/>
        </w:trPr>
        <w:tc>
          <w:tcPr>
            <w:tcW w:w="3176" w:type="dxa"/>
            <w:tcBorders>
              <w:top w:val="nil"/>
              <w:left w:val="nil"/>
              <w:bottom w:val="nil"/>
              <w:right w:val="nil"/>
            </w:tcBorders>
            <w:shd w:val="clear" w:color="000000" w:fill="E6E6E6"/>
            <w:noWrap/>
            <w:vAlign w:val="bottom"/>
            <w:hideMark/>
          </w:tcPr>
          <w:p w:rsidR="005E7EDE" w:rsidRDefault="005E7EDE" w:rsidP="005E7EDE">
            <w:pPr>
              <w:rPr>
                <w:rFonts w:ascii="Tahoma" w:hAnsi="Tahoma" w:cs="Tahoma"/>
                <w:b/>
                <w:bCs/>
                <w:sz w:val="18"/>
                <w:szCs w:val="18"/>
              </w:rPr>
            </w:pPr>
            <w:r>
              <w:rPr>
                <w:rFonts w:ascii="Tahoma" w:hAnsi="Tahoma" w:cs="Tahoma"/>
                <w:b/>
                <w:bCs/>
                <w:sz w:val="18"/>
                <w:szCs w:val="18"/>
              </w:rPr>
              <w:t> </w:t>
            </w:r>
          </w:p>
        </w:tc>
        <w:tc>
          <w:tcPr>
            <w:tcW w:w="2873" w:type="dxa"/>
            <w:tcBorders>
              <w:top w:val="nil"/>
              <w:left w:val="nil"/>
              <w:bottom w:val="single" w:sz="4" w:space="0" w:color="auto"/>
              <w:right w:val="nil"/>
            </w:tcBorders>
            <w:shd w:val="clear" w:color="000000" w:fill="E6E6E6"/>
            <w:vAlign w:val="bottom"/>
            <w:hideMark/>
          </w:tcPr>
          <w:p w:rsidR="005E7EDE" w:rsidRDefault="005E7EDE" w:rsidP="005E7EDE">
            <w:pPr>
              <w:jc w:val="center"/>
              <w:rPr>
                <w:rFonts w:ascii="Tahoma" w:hAnsi="Tahoma" w:cs="Tahoma"/>
                <w:b/>
                <w:bCs/>
                <w:sz w:val="18"/>
                <w:szCs w:val="18"/>
              </w:rPr>
            </w:pPr>
            <w:r>
              <w:rPr>
                <w:rFonts w:ascii="Tahoma" w:hAnsi="Tahoma" w:cs="Tahoma"/>
                <w:b/>
                <w:bCs/>
                <w:sz w:val="18"/>
                <w:szCs w:val="18"/>
              </w:rPr>
              <w:t>01.01.18 - 31.12.18</w:t>
            </w:r>
          </w:p>
        </w:tc>
        <w:tc>
          <w:tcPr>
            <w:tcW w:w="3251" w:type="dxa"/>
            <w:tcBorders>
              <w:top w:val="nil"/>
              <w:left w:val="nil"/>
              <w:bottom w:val="single" w:sz="4" w:space="0" w:color="auto"/>
              <w:right w:val="nil"/>
            </w:tcBorders>
            <w:shd w:val="clear" w:color="000000" w:fill="E6E6E6"/>
            <w:vAlign w:val="bottom"/>
            <w:hideMark/>
          </w:tcPr>
          <w:p w:rsidR="005E7EDE" w:rsidRDefault="005E7EDE" w:rsidP="005E7EDE">
            <w:pPr>
              <w:jc w:val="center"/>
              <w:rPr>
                <w:rFonts w:ascii="Tahoma" w:hAnsi="Tahoma" w:cs="Tahoma"/>
                <w:b/>
                <w:bCs/>
                <w:sz w:val="18"/>
                <w:szCs w:val="18"/>
              </w:rPr>
            </w:pPr>
            <w:r>
              <w:rPr>
                <w:rFonts w:ascii="Tahoma" w:hAnsi="Tahoma" w:cs="Tahoma"/>
                <w:b/>
                <w:bCs/>
                <w:sz w:val="18"/>
                <w:szCs w:val="18"/>
              </w:rPr>
              <w:t>01.01.17 - 31.12.17</w:t>
            </w:r>
          </w:p>
        </w:tc>
      </w:tr>
      <w:tr w:rsidR="005E7EDE" w:rsidTr="005E7EDE">
        <w:trPr>
          <w:trHeight w:val="264"/>
        </w:trPr>
        <w:tc>
          <w:tcPr>
            <w:tcW w:w="317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b/>
                <w:bCs/>
                <w:sz w:val="18"/>
                <w:szCs w:val="18"/>
              </w:rPr>
            </w:pPr>
            <w:r>
              <w:rPr>
                <w:rFonts w:ascii="Tahoma" w:hAnsi="Tahoma" w:cs="Tahoma"/>
                <w:b/>
                <w:bCs/>
                <w:sz w:val="18"/>
                <w:szCs w:val="18"/>
              </w:rPr>
              <w:t>Υποχρεώσεις ισολογισμού για</w:t>
            </w:r>
          </w:p>
        </w:tc>
        <w:tc>
          <w:tcPr>
            <w:tcW w:w="2873" w:type="dxa"/>
            <w:tcBorders>
              <w:top w:val="nil"/>
              <w:left w:val="nil"/>
              <w:bottom w:val="nil"/>
              <w:right w:val="nil"/>
            </w:tcBorders>
            <w:shd w:val="clear" w:color="auto" w:fill="auto"/>
            <w:noWrap/>
            <w:vAlign w:val="bottom"/>
            <w:hideMark/>
          </w:tcPr>
          <w:p w:rsidR="005E7EDE" w:rsidRDefault="005E7EDE" w:rsidP="005E7EDE">
            <w:pPr>
              <w:rPr>
                <w:rFonts w:ascii="Tahoma" w:hAnsi="Tahoma" w:cs="Tahoma"/>
                <w:b/>
                <w:bCs/>
                <w:sz w:val="18"/>
                <w:szCs w:val="18"/>
              </w:rPr>
            </w:pPr>
          </w:p>
        </w:tc>
        <w:tc>
          <w:tcPr>
            <w:tcW w:w="3251" w:type="dxa"/>
            <w:tcBorders>
              <w:top w:val="nil"/>
              <w:left w:val="nil"/>
              <w:bottom w:val="nil"/>
              <w:right w:val="nil"/>
            </w:tcBorders>
            <w:shd w:val="clear" w:color="auto" w:fill="auto"/>
            <w:noWrap/>
            <w:vAlign w:val="bottom"/>
            <w:hideMark/>
          </w:tcPr>
          <w:p w:rsidR="005E7EDE" w:rsidRDefault="005E7EDE" w:rsidP="005E7EDE">
            <w:pPr>
              <w:jc w:val="center"/>
              <w:rPr>
                <w:sz w:val="20"/>
                <w:szCs w:val="20"/>
              </w:rPr>
            </w:pPr>
          </w:p>
        </w:tc>
      </w:tr>
      <w:tr w:rsidR="005E7EDE" w:rsidTr="005E7EDE">
        <w:trPr>
          <w:trHeight w:val="264"/>
        </w:trPr>
        <w:tc>
          <w:tcPr>
            <w:tcW w:w="317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Παροχές αποχωρήσεως</w:t>
            </w:r>
          </w:p>
        </w:tc>
        <w:tc>
          <w:tcPr>
            <w:tcW w:w="2873"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40.885,59</w:t>
            </w:r>
          </w:p>
        </w:tc>
        <w:tc>
          <w:tcPr>
            <w:tcW w:w="3251"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35.159,07</w:t>
            </w:r>
          </w:p>
        </w:tc>
      </w:tr>
      <w:tr w:rsidR="005E7EDE" w:rsidTr="005E7EDE">
        <w:trPr>
          <w:trHeight w:val="264"/>
        </w:trPr>
        <w:tc>
          <w:tcPr>
            <w:tcW w:w="6049" w:type="dxa"/>
            <w:gridSpan w:val="2"/>
            <w:tcBorders>
              <w:top w:val="nil"/>
              <w:left w:val="nil"/>
              <w:bottom w:val="nil"/>
              <w:right w:val="nil"/>
            </w:tcBorders>
            <w:shd w:val="clear" w:color="auto" w:fill="auto"/>
            <w:noWrap/>
            <w:vAlign w:val="bottom"/>
            <w:hideMark/>
          </w:tcPr>
          <w:p w:rsidR="005E7EDE" w:rsidRDefault="005E7EDE" w:rsidP="005E7EDE">
            <w:pPr>
              <w:rPr>
                <w:rFonts w:ascii="Tahoma" w:hAnsi="Tahoma" w:cs="Tahoma"/>
                <w:b/>
                <w:bCs/>
                <w:sz w:val="18"/>
                <w:szCs w:val="18"/>
              </w:rPr>
            </w:pPr>
            <w:r>
              <w:rPr>
                <w:rFonts w:ascii="Tahoma" w:hAnsi="Tahoma" w:cs="Tahoma"/>
                <w:b/>
                <w:bCs/>
                <w:sz w:val="18"/>
                <w:szCs w:val="18"/>
              </w:rPr>
              <w:t>Χρεώσεις ή πιστώσεις στα αποτελέσματα για</w:t>
            </w:r>
          </w:p>
        </w:tc>
        <w:tc>
          <w:tcPr>
            <w:tcW w:w="3251" w:type="dxa"/>
            <w:tcBorders>
              <w:top w:val="nil"/>
              <w:left w:val="nil"/>
              <w:bottom w:val="nil"/>
              <w:right w:val="nil"/>
            </w:tcBorders>
            <w:shd w:val="clear" w:color="auto" w:fill="auto"/>
            <w:noWrap/>
            <w:vAlign w:val="bottom"/>
            <w:hideMark/>
          </w:tcPr>
          <w:p w:rsidR="005E7EDE" w:rsidRDefault="005E7EDE" w:rsidP="005E7EDE">
            <w:pPr>
              <w:rPr>
                <w:rFonts w:ascii="Tahoma" w:hAnsi="Tahoma" w:cs="Tahoma"/>
                <w:b/>
                <w:bCs/>
                <w:sz w:val="18"/>
                <w:szCs w:val="18"/>
              </w:rPr>
            </w:pPr>
          </w:p>
        </w:tc>
      </w:tr>
      <w:tr w:rsidR="005E7EDE" w:rsidTr="005E7EDE">
        <w:trPr>
          <w:trHeight w:val="264"/>
        </w:trPr>
        <w:tc>
          <w:tcPr>
            <w:tcW w:w="317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Παροχές αποχωρήσεως</w:t>
            </w:r>
          </w:p>
        </w:tc>
        <w:tc>
          <w:tcPr>
            <w:tcW w:w="2873"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5.726,52</w:t>
            </w:r>
          </w:p>
        </w:tc>
        <w:tc>
          <w:tcPr>
            <w:tcW w:w="3251"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5.715,53</w:t>
            </w:r>
          </w:p>
        </w:tc>
      </w:tr>
      <w:tr w:rsidR="005E7EDE" w:rsidTr="005E7EDE">
        <w:trPr>
          <w:trHeight w:val="264"/>
        </w:trPr>
        <w:tc>
          <w:tcPr>
            <w:tcW w:w="6049" w:type="dxa"/>
            <w:gridSpan w:val="2"/>
            <w:tcBorders>
              <w:top w:val="nil"/>
              <w:left w:val="nil"/>
              <w:bottom w:val="nil"/>
              <w:right w:val="nil"/>
            </w:tcBorders>
            <w:shd w:val="clear" w:color="auto" w:fill="auto"/>
            <w:noWrap/>
            <w:vAlign w:val="bottom"/>
            <w:hideMark/>
          </w:tcPr>
          <w:p w:rsidR="005E7EDE" w:rsidRDefault="005E7EDE" w:rsidP="005E7EDE">
            <w:pPr>
              <w:rPr>
                <w:rFonts w:ascii="Tahoma" w:hAnsi="Tahoma" w:cs="Tahoma"/>
                <w:b/>
                <w:bCs/>
                <w:sz w:val="18"/>
                <w:szCs w:val="18"/>
              </w:rPr>
            </w:pPr>
            <w:r>
              <w:rPr>
                <w:rFonts w:ascii="Tahoma" w:hAnsi="Tahoma" w:cs="Tahoma"/>
                <w:b/>
                <w:bCs/>
                <w:sz w:val="18"/>
                <w:szCs w:val="18"/>
              </w:rPr>
              <w:t>Χρεώσεις ή πιστώσεις στη καθαρή θέση για</w:t>
            </w:r>
          </w:p>
        </w:tc>
        <w:tc>
          <w:tcPr>
            <w:tcW w:w="3251" w:type="dxa"/>
            <w:tcBorders>
              <w:top w:val="nil"/>
              <w:left w:val="nil"/>
              <w:bottom w:val="nil"/>
              <w:right w:val="nil"/>
            </w:tcBorders>
            <w:shd w:val="clear" w:color="auto" w:fill="auto"/>
            <w:noWrap/>
            <w:vAlign w:val="bottom"/>
            <w:hideMark/>
          </w:tcPr>
          <w:p w:rsidR="005E7EDE" w:rsidRDefault="005E7EDE" w:rsidP="005E7EDE">
            <w:pPr>
              <w:rPr>
                <w:rFonts w:ascii="Tahoma" w:hAnsi="Tahoma" w:cs="Tahoma"/>
                <w:b/>
                <w:bCs/>
                <w:sz w:val="18"/>
                <w:szCs w:val="18"/>
              </w:rPr>
            </w:pPr>
          </w:p>
        </w:tc>
      </w:tr>
      <w:tr w:rsidR="005E7EDE" w:rsidTr="005E7EDE">
        <w:trPr>
          <w:trHeight w:val="264"/>
        </w:trPr>
        <w:tc>
          <w:tcPr>
            <w:tcW w:w="317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Αναλογιστικά ελλείμματα</w:t>
            </w:r>
          </w:p>
        </w:tc>
        <w:tc>
          <w:tcPr>
            <w:tcW w:w="2873"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0,00</w:t>
            </w:r>
          </w:p>
        </w:tc>
        <w:tc>
          <w:tcPr>
            <w:tcW w:w="3251"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0,00</w:t>
            </w:r>
          </w:p>
        </w:tc>
      </w:tr>
    </w:tbl>
    <w:p w:rsidR="005E7EDE" w:rsidRPr="00485A4C" w:rsidRDefault="005E7EDE" w:rsidP="00480197">
      <w:pPr>
        <w:spacing w:line="360" w:lineRule="auto"/>
        <w:ind w:left="-540"/>
        <w:rPr>
          <w:rFonts w:ascii="Tahoma" w:hAnsi="Tahoma" w:cs="Tahoma"/>
          <w:sz w:val="22"/>
          <w:szCs w:val="22"/>
        </w:rPr>
      </w:pPr>
    </w:p>
    <w:p w:rsidR="00480197" w:rsidRDefault="00480197" w:rsidP="00537AAA">
      <w:pPr>
        <w:spacing w:line="360" w:lineRule="auto"/>
        <w:ind w:left="-540"/>
        <w:rPr>
          <w:rFonts w:ascii="Tahoma" w:hAnsi="Tahoma" w:cs="Tahoma"/>
          <w:sz w:val="22"/>
          <w:szCs w:val="22"/>
          <w:lang w:val="en-US"/>
        </w:rPr>
      </w:pPr>
    </w:p>
    <w:p w:rsidR="005E7EDE" w:rsidRPr="00485A4C" w:rsidRDefault="005E7EDE" w:rsidP="00537AAA">
      <w:pPr>
        <w:spacing w:line="360" w:lineRule="auto"/>
        <w:ind w:left="-540"/>
        <w:rPr>
          <w:rFonts w:ascii="Tahoma" w:hAnsi="Tahoma" w:cs="Tahoma"/>
          <w:sz w:val="22"/>
          <w:szCs w:val="22"/>
        </w:rPr>
      </w:pPr>
    </w:p>
    <w:p w:rsidR="00480197" w:rsidRPr="00485A4C" w:rsidRDefault="00480197" w:rsidP="00AC5445">
      <w:pPr>
        <w:spacing w:line="360" w:lineRule="auto"/>
        <w:ind w:left="-539"/>
        <w:jc w:val="both"/>
        <w:rPr>
          <w:rFonts w:ascii="Tahoma" w:hAnsi="Tahoma" w:cs="Tahoma"/>
          <w:sz w:val="22"/>
          <w:szCs w:val="22"/>
        </w:rPr>
      </w:pPr>
      <w:r w:rsidRPr="00485A4C">
        <w:rPr>
          <w:rFonts w:ascii="Tahoma" w:hAnsi="Tahoma" w:cs="Tahoma"/>
          <w:sz w:val="22"/>
          <w:szCs w:val="22"/>
        </w:rPr>
        <w:t xml:space="preserve">Ο αριθμός του απασχολούμενου προσωπικού στο τέλος της </w:t>
      </w:r>
      <w:r w:rsidR="006E271D" w:rsidRPr="00485A4C">
        <w:rPr>
          <w:rFonts w:ascii="Tahoma" w:hAnsi="Tahoma" w:cs="Tahoma"/>
          <w:sz w:val="22"/>
          <w:szCs w:val="22"/>
        </w:rPr>
        <w:t>κλειόμενης</w:t>
      </w:r>
      <w:r w:rsidRPr="00485A4C">
        <w:rPr>
          <w:rFonts w:ascii="Tahoma" w:hAnsi="Tahoma" w:cs="Tahoma"/>
          <w:sz w:val="22"/>
          <w:szCs w:val="22"/>
        </w:rPr>
        <w:t xml:space="preserve"> περιόδου είναι </w:t>
      </w:r>
      <w:r w:rsidR="00346A82" w:rsidRPr="00565878">
        <w:rPr>
          <w:rFonts w:ascii="Tahoma" w:hAnsi="Tahoma" w:cs="Tahoma"/>
          <w:sz w:val="22"/>
          <w:szCs w:val="22"/>
        </w:rPr>
        <w:t>3</w:t>
      </w:r>
      <w:r w:rsidR="00565878" w:rsidRPr="00565878">
        <w:rPr>
          <w:rFonts w:ascii="Tahoma" w:hAnsi="Tahoma" w:cs="Tahoma"/>
          <w:sz w:val="22"/>
          <w:szCs w:val="22"/>
        </w:rPr>
        <w:t>2</w:t>
      </w:r>
      <w:r w:rsidRPr="00485A4C">
        <w:rPr>
          <w:rFonts w:ascii="Tahoma" w:hAnsi="Tahoma" w:cs="Tahoma"/>
          <w:sz w:val="22"/>
          <w:szCs w:val="22"/>
        </w:rPr>
        <w:t xml:space="preserve"> υπάλληλοι.</w:t>
      </w:r>
    </w:p>
    <w:p w:rsidR="00A21C6B" w:rsidRPr="00485A4C" w:rsidRDefault="00A21C6B" w:rsidP="00480197">
      <w:pPr>
        <w:spacing w:line="360" w:lineRule="auto"/>
        <w:jc w:val="both"/>
        <w:rPr>
          <w:rFonts w:ascii="Tahoma" w:hAnsi="Tahoma" w:cs="Tahoma"/>
          <w:sz w:val="22"/>
          <w:szCs w:val="22"/>
          <w:highlight w:val="red"/>
        </w:rPr>
      </w:pPr>
    </w:p>
    <w:p w:rsidR="00E36ABA" w:rsidRPr="00485A4C" w:rsidRDefault="0020008D" w:rsidP="00E36ABA">
      <w:pPr>
        <w:pStyle w:val="Heading2"/>
        <w:spacing w:before="0" w:after="0" w:line="360" w:lineRule="auto"/>
        <w:ind w:left="-540"/>
        <w:rPr>
          <w:rFonts w:ascii="Tahoma" w:hAnsi="Tahoma" w:cs="Tahoma"/>
          <w:i w:val="0"/>
          <w:sz w:val="22"/>
          <w:szCs w:val="22"/>
        </w:rPr>
      </w:pPr>
      <w:bookmarkStart w:id="44" w:name="_Toc326080928"/>
      <w:bookmarkStart w:id="45" w:name="_Toc526260612"/>
      <w:r w:rsidRPr="00485A4C">
        <w:rPr>
          <w:rFonts w:ascii="Tahoma" w:hAnsi="Tahoma" w:cs="Tahoma"/>
          <w:i w:val="0"/>
          <w:sz w:val="22"/>
          <w:szCs w:val="22"/>
          <w:lang w:val="el-GR"/>
        </w:rPr>
        <w:t>7</w:t>
      </w:r>
      <w:r w:rsidR="00E36ABA" w:rsidRPr="00485A4C">
        <w:rPr>
          <w:rFonts w:ascii="Tahoma" w:hAnsi="Tahoma" w:cs="Tahoma"/>
          <w:i w:val="0"/>
          <w:sz w:val="22"/>
          <w:szCs w:val="22"/>
        </w:rPr>
        <w:t>.1</w:t>
      </w:r>
      <w:r w:rsidR="00BE65F3" w:rsidRPr="00485A4C">
        <w:rPr>
          <w:rFonts w:ascii="Tahoma" w:hAnsi="Tahoma" w:cs="Tahoma"/>
          <w:i w:val="0"/>
          <w:sz w:val="22"/>
          <w:szCs w:val="22"/>
        </w:rPr>
        <w:t>1</w:t>
      </w:r>
      <w:r w:rsidR="00E36ABA" w:rsidRPr="00485A4C">
        <w:rPr>
          <w:rFonts w:ascii="Tahoma" w:hAnsi="Tahoma" w:cs="Tahoma"/>
          <w:i w:val="0"/>
          <w:sz w:val="22"/>
          <w:szCs w:val="22"/>
        </w:rPr>
        <w:t>. Μακροπρόθεσμες δανειακές υποχρεώσεις</w:t>
      </w:r>
      <w:bookmarkEnd w:id="44"/>
      <w:bookmarkEnd w:id="45"/>
    </w:p>
    <w:p w:rsidR="00E36ABA" w:rsidRPr="00485A4C" w:rsidRDefault="00E36ABA" w:rsidP="00E36ABA">
      <w:pPr>
        <w:jc w:val="both"/>
        <w:rPr>
          <w:rFonts w:ascii="Tahoma" w:hAnsi="Tahoma" w:cs="Tahoma"/>
          <w:sz w:val="22"/>
          <w:szCs w:val="22"/>
        </w:rPr>
      </w:pPr>
    </w:p>
    <w:p w:rsidR="00E36ABA" w:rsidRPr="00485A4C" w:rsidRDefault="00E36ABA" w:rsidP="002F7A73">
      <w:pPr>
        <w:ind w:left="-567"/>
        <w:rPr>
          <w:rFonts w:ascii="Tahoma" w:hAnsi="Tahoma" w:cs="Tahoma"/>
        </w:rPr>
      </w:pPr>
      <w:r w:rsidRPr="00485A4C">
        <w:rPr>
          <w:rFonts w:ascii="Tahoma" w:hAnsi="Tahoma" w:cs="Tahoma"/>
        </w:rPr>
        <w:t>Τ</w:t>
      </w:r>
      <w:r w:rsidRPr="00485A4C">
        <w:rPr>
          <w:rFonts w:ascii="Tahoma" w:hAnsi="Tahoma" w:cs="Tahoma"/>
          <w:lang w:val="en-US"/>
        </w:rPr>
        <w:t>o</w:t>
      </w:r>
      <w:r w:rsidRPr="00485A4C">
        <w:rPr>
          <w:rFonts w:ascii="Tahoma" w:hAnsi="Tahoma" w:cs="Tahoma"/>
        </w:rPr>
        <w:t xml:space="preserve"> υπόλοιπο των μακροπρόθεσμων δανειακών υποχρεώσεων αναλύεται ως εξής:</w:t>
      </w:r>
    </w:p>
    <w:p w:rsidR="002F7A73" w:rsidRPr="00485A4C" w:rsidRDefault="002F7A73" w:rsidP="002F7A73">
      <w:pPr>
        <w:ind w:left="-567"/>
        <w:rPr>
          <w:rFonts w:ascii="Tahoma" w:hAnsi="Tahoma" w:cs="Tahoma"/>
          <w:highlight w:val="red"/>
        </w:rPr>
      </w:pPr>
    </w:p>
    <w:tbl>
      <w:tblPr>
        <w:tblW w:w="7088" w:type="dxa"/>
        <w:tblInd w:w="-709" w:type="dxa"/>
        <w:tblLook w:val="04A0" w:firstRow="1" w:lastRow="0" w:firstColumn="1" w:lastColumn="0" w:noHBand="0" w:noVBand="1"/>
      </w:tblPr>
      <w:tblGrid>
        <w:gridCol w:w="2552"/>
        <w:gridCol w:w="2126"/>
        <w:gridCol w:w="2410"/>
      </w:tblGrid>
      <w:tr w:rsidR="005E7EDE" w:rsidTr="00565878">
        <w:trPr>
          <w:trHeight w:val="276"/>
        </w:trPr>
        <w:tc>
          <w:tcPr>
            <w:tcW w:w="2552" w:type="dxa"/>
            <w:tcBorders>
              <w:top w:val="nil"/>
              <w:left w:val="nil"/>
              <w:bottom w:val="nil"/>
              <w:right w:val="nil"/>
            </w:tcBorders>
            <w:shd w:val="clear" w:color="000000" w:fill="E6E6E6"/>
            <w:noWrap/>
            <w:vAlign w:val="bottom"/>
            <w:hideMark/>
          </w:tcPr>
          <w:p w:rsidR="005E7EDE" w:rsidRDefault="005E7EDE">
            <w:pPr>
              <w:rPr>
                <w:rFonts w:ascii="Tahoma" w:hAnsi="Tahoma" w:cs="Tahoma"/>
                <w:b/>
                <w:bCs/>
                <w:sz w:val="18"/>
                <w:szCs w:val="18"/>
              </w:rPr>
            </w:pPr>
            <w:r>
              <w:rPr>
                <w:rFonts w:ascii="Tahoma" w:hAnsi="Tahoma" w:cs="Tahoma"/>
                <w:b/>
                <w:bCs/>
                <w:sz w:val="18"/>
                <w:szCs w:val="18"/>
              </w:rPr>
              <w:t> </w:t>
            </w:r>
          </w:p>
        </w:tc>
        <w:tc>
          <w:tcPr>
            <w:tcW w:w="2126" w:type="dxa"/>
            <w:tcBorders>
              <w:top w:val="nil"/>
              <w:left w:val="nil"/>
              <w:bottom w:val="nil"/>
              <w:right w:val="nil"/>
            </w:tcBorders>
            <w:shd w:val="clear" w:color="000000" w:fill="E6E6E6"/>
            <w:noWrap/>
            <w:vAlign w:val="bottom"/>
            <w:hideMark/>
          </w:tcPr>
          <w:p w:rsidR="005E7EDE" w:rsidRDefault="005E7EDE">
            <w:pPr>
              <w:jc w:val="center"/>
              <w:rPr>
                <w:rFonts w:ascii="Tahoma" w:hAnsi="Tahoma" w:cs="Tahoma"/>
                <w:b/>
                <w:bCs/>
                <w:sz w:val="18"/>
                <w:szCs w:val="18"/>
              </w:rPr>
            </w:pPr>
            <w:r>
              <w:rPr>
                <w:rFonts w:ascii="Tahoma" w:hAnsi="Tahoma" w:cs="Tahoma"/>
                <w:b/>
                <w:bCs/>
                <w:sz w:val="18"/>
                <w:szCs w:val="18"/>
              </w:rPr>
              <w:t>31.12.2018</w:t>
            </w:r>
          </w:p>
        </w:tc>
        <w:tc>
          <w:tcPr>
            <w:tcW w:w="2410" w:type="dxa"/>
            <w:tcBorders>
              <w:top w:val="nil"/>
              <w:left w:val="nil"/>
              <w:bottom w:val="nil"/>
              <w:right w:val="nil"/>
            </w:tcBorders>
            <w:shd w:val="clear" w:color="000000" w:fill="E6E6E6"/>
            <w:noWrap/>
            <w:vAlign w:val="bottom"/>
            <w:hideMark/>
          </w:tcPr>
          <w:p w:rsidR="005E7EDE" w:rsidRDefault="005E7EDE">
            <w:pPr>
              <w:jc w:val="center"/>
              <w:rPr>
                <w:rFonts w:ascii="Tahoma" w:hAnsi="Tahoma" w:cs="Tahoma"/>
                <w:b/>
                <w:bCs/>
                <w:sz w:val="18"/>
                <w:szCs w:val="18"/>
              </w:rPr>
            </w:pPr>
            <w:r>
              <w:rPr>
                <w:rFonts w:ascii="Tahoma" w:hAnsi="Tahoma" w:cs="Tahoma"/>
                <w:b/>
                <w:bCs/>
                <w:sz w:val="18"/>
                <w:szCs w:val="18"/>
              </w:rPr>
              <w:t>31.12.2017</w:t>
            </w:r>
          </w:p>
        </w:tc>
      </w:tr>
      <w:tr w:rsidR="005E7EDE" w:rsidTr="00565878">
        <w:trPr>
          <w:trHeight w:val="360"/>
        </w:trPr>
        <w:tc>
          <w:tcPr>
            <w:tcW w:w="2552"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Μακροπρόθεσμα δάνεια</w:t>
            </w:r>
          </w:p>
        </w:tc>
        <w:tc>
          <w:tcPr>
            <w:tcW w:w="2126" w:type="dxa"/>
            <w:tcBorders>
              <w:top w:val="nil"/>
              <w:left w:val="nil"/>
              <w:bottom w:val="double" w:sz="6" w:space="0" w:color="auto"/>
              <w:right w:val="nil"/>
            </w:tcBorders>
            <w:shd w:val="clear" w:color="auto" w:fill="auto"/>
            <w:noWrap/>
            <w:vAlign w:val="bottom"/>
            <w:hideMark/>
          </w:tcPr>
          <w:p w:rsidR="005E7EDE" w:rsidRDefault="005E7EDE">
            <w:pPr>
              <w:jc w:val="right"/>
              <w:rPr>
                <w:rFonts w:ascii="Tahoma" w:hAnsi="Tahoma" w:cs="Tahoma"/>
                <w:b/>
                <w:bCs/>
                <w:sz w:val="18"/>
                <w:szCs w:val="18"/>
              </w:rPr>
            </w:pPr>
            <w:r>
              <w:rPr>
                <w:rFonts w:ascii="Tahoma" w:hAnsi="Tahoma" w:cs="Tahoma"/>
                <w:b/>
                <w:bCs/>
                <w:sz w:val="18"/>
                <w:szCs w:val="18"/>
              </w:rPr>
              <w:t>0,00</w:t>
            </w:r>
          </w:p>
        </w:tc>
        <w:tc>
          <w:tcPr>
            <w:tcW w:w="2410" w:type="dxa"/>
            <w:tcBorders>
              <w:top w:val="nil"/>
              <w:left w:val="nil"/>
              <w:bottom w:val="double" w:sz="6" w:space="0" w:color="auto"/>
              <w:right w:val="nil"/>
            </w:tcBorders>
            <w:shd w:val="clear" w:color="auto" w:fill="auto"/>
            <w:noWrap/>
            <w:vAlign w:val="bottom"/>
            <w:hideMark/>
          </w:tcPr>
          <w:p w:rsidR="005E7EDE" w:rsidRDefault="005E7EDE">
            <w:pPr>
              <w:jc w:val="right"/>
              <w:rPr>
                <w:rFonts w:ascii="Tahoma" w:hAnsi="Tahoma" w:cs="Tahoma"/>
                <w:b/>
                <w:bCs/>
                <w:sz w:val="18"/>
                <w:szCs w:val="18"/>
              </w:rPr>
            </w:pPr>
            <w:r>
              <w:rPr>
                <w:rFonts w:ascii="Tahoma" w:hAnsi="Tahoma" w:cs="Tahoma"/>
                <w:b/>
                <w:bCs/>
                <w:sz w:val="18"/>
                <w:szCs w:val="18"/>
              </w:rPr>
              <w:t>0,00</w:t>
            </w:r>
          </w:p>
        </w:tc>
      </w:tr>
    </w:tbl>
    <w:p w:rsidR="00537AAA" w:rsidRPr="00485A4C" w:rsidRDefault="00537AAA" w:rsidP="00A024F8">
      <w:pPr>
        <w:ind w:left="-567"/>
        <w:rPr>
          <w:rFonts w:ascii="Tahoma" w:hAnsi="Tahoma" w:cs="Tahoma"/>
          <w:highlight w:val="red"/>
          <w:lang w:val="en-US"/>
        </w:rPr>
      </w:pPr>
    </w:p>
    <w:p w:rsidR="00A024F8" w:rsidRPr="00485A4C" w:rsidRDefault="00A024F8" w:rsidP="007541B7">
      <w:pPr>
        <w:autoSpaceDE w:val="0"/>
        <w:autoSpaceDN w:val="0"/>
        <w:adjustRightInd w:val="0"/>
        <w:spacing w:line="360" w:lineRule="auto"/>
        <w:ind w:left="-539"/>
        <w:jc w:val="both"/>
        <w:rPr>
          <w:rFonts w:ascii="Tahoma" w:hAnsi="Tahoma" w:cs="Tahoma"/>
          <w:sz w:val="22"/>
          <w:szCs w:val="22"/>
          <w:highlight w:val="red"/>
        </w:rPr>
      </w:pPr>
    </w:p>
    <w:p w:rsidR="00A024F8" w:rsidRPr="00485A4C" w:rsidRDefault="00A024F8" w:rsidP="007541B7">
      <w:pPr>
        <w:autoSpaceDE w:val="0"/>
        <w:autoSpaceDN w:val="0"/>
        <w:adjustRightInd w:val="0"/>
        <w:spacing w:line="360" w:lineRule="auto"/>
        <w:ind w:left="-539"/>
        <w:jc w:val="both"/>
        <w:rPr>
          <w:rFonts w:ascii="Tahoma" w:hAnsi="Tahoma" w:cs="Tahoma"/>
          <w:sz w:val="22"/>
          <w:szCs w:val="22"/>
        </w:rPr>
      </w:pPr>
    </w:p>
    <w:p w:rsidR="00480197" w:rsidRPr="00485A4C" w:rsidRDefault="0020008D" w:rsidP="00480197">
      <w:pPr>
        <w:pStyle w:val="Heading2"/>
        <w:spacing w:before="0" w:after="0" w:line="360" w:lineRule="auto"/>
        <w:ind w:left="-539"/>
        <w:rPr>
          <w:rFonts w:ascii="Tahoma" w:hAnsi="Tahoma" w:cs="Tahoma"/>
          <w:i w:val="0"/>
          <w:sz w:val="22"/>
          <w:szCs w:val="22"/>
        </w:rPr>
      </w:pPr>
      <w:bookmarkStart w:id="46" w:name="_Toc178753444"/>
      <w:bookmarkStart w:id="47" w:name="_Toc526260613"/>
      <w:r w:rsidRPr="00485A4C">
        <w:rPr>
          <w:rFonts w:ascii="Tahoma" w:hAnsi="Tahoma" w:cs="Tahoma"/>
          <w:i w:val="0"/>
          <w:sz w:val="22"/>
          <w:szCs w:val="22"/>
          <w:lang w:val="el-GR"/>
        </w:rPr>
        <w:t>7</w:t>
      </w:r>
      <w:r w:rsidR="00926485" w:rsidRPr="00485A4C">
        <w:rPr>
          <w:rFonts w:ascii="Tahoma" w:hAnsi="Tahoma" w:cs="Tahoma"/>
          <w:i w:val="0"/>
          <w:sz w:val="22"/>
          <w:szCs w:val="22"/>
        </w:rPr>
        <w:t>.1</w:t>
      </w:r>
      <w:r w:rsidR="00BE65F3" w:rsidRPr="00485A4C">
        <w:rPr>
          <w:rFonts w:ascii="Tahoma" w:hAnsi="Tahoma" w:cs="Tahoma"/>
          <w:i w:val="0"/>
          <w:sz w:val="22"/>
          <w:szCs w:val="22"/>
        </w:rPr>
        <w:t>2</w:t>
      </w:r>
      <w:r w:rsidR="00480197" w:rsidRPr="00485A4C">
        <w:rPr>
          <w:rFonts w:ascii="Tahoma" w:hAnsi="Tahoma" w:cs="Tahoma"/>
          <w:i w:val="0"/>
          <w:sz w:val="22"/>
          <w:szCs w:val="22"/>
        </w:rPr>
        <w:t xml:space="preserve">. Αναβαλλόμενες φορολογικές </w:t>
      </w:r>
      <w:bookmarkEnd w:id="46"/>
      <w:r w:rsidR="00BE65F3" w:rsidRPr="00485A4C">
        <w:rPr>
          <w:rFonts w:ascii="Tahoma" w:hAnsi="Tahoma" w:cs="Tahoma"/>
          <w:i w:val="0"/>
          <w:sz w:val="22"/>
          <w:szCs w:val="22"/>
        </w:rPr>
        <w:t>υποχρεώσεις</w:t>
      </w:r>
      <w:bookmarkEnd w:id="47"/>
    </w:p>
    <w:p w:rsidR="00A024F8" w:rsidRPr="00485A4C" w:rsidRDefault="00A024F8" w:rsidP="00847F20">
      <w:pPr>
        <w:spacing w:line="360" w:lineRule="auto"/>
        <w:ind w:left="-539"/>
        <w:jc w:val="both"/>
        <w:rPr>
          <w:rFonts w:ascii="Tahoma" w:hAnsi="Tahoma" w:cs="Tahoma"/>
          <w:sz w:val="22"/>
          <w:szCs w:val="22"/>
          <w:highlight w:val="red"/>
        </w:rPr>
      </w:pPr>
    </w:p>
    <w:p w:rsidR="000E07DC" w:rsidRPr="00485A4C" w:rsidRDefault="000E07DC" w:rsidP="00847F20">
      <w:pPr>
        <w:spacing w:line="360" w:lineRule="auto"/>
        <w:ind w:left="-539"/>
        <w:jc w:val="both"/>
        <w:rPr>
          <w:rFonts w:ascii="Tahoma" w:hAnsi="Tahoma" w:cs="Tahoma"/>
          <w:sz w:val="22"/>
          <w:szCs w:val="22"/>
        </w:rPr>
      </w:pPr>
      <w:r w:rsidRPr="00485A4C">
        <w:rPr>
          <w:rFonts w:ascii="Tahoma" w:hAnsi="Tahoma" w:cs="Tahoma"/>
          <w:sz w:val="22"/>
          <w:szCs w:val="22"/>
        </w:rPr>
        <w:t xml:space="preserve">Οι αναβαλλόμενες </w:t>
      </w:r>
      <w:r w:rsidR="00A024F8" w:rsidRPr="00485A4C">
        <w:rPr>
          <w:rFonts w:ascii="Tahoma" w:hAnsi="Tahoma" w:cs="Tahoma"/>
          <w:sz w:val="22"/>
          <w:szCs w:val="22"/>
        </w:rPr>
        <w:t>φορολογικές απαιτήσεις και υποχρεώσεις κατά την 31.12.201</w:t>
      </w:r>
      <w:r w:rsidR="005E7EDE">
        <w:rPr>
          <w:rFonts w:ascii="Tahoma" w:hAnsi="Tahoma" w:cs="Tahoma"/>
          <w:sz w:val="22"/>
          <w:szCs w:val="22"/>
        </w:rPr>
        <w:t>8</w:t>
      </w:r>
      <w:r w:rsidR="00A024F8" w:rsidRPr="00485A4C">
        <w:rPr>
          <w:rFonts w:ascii="Tahoma" w:hAnsi="Tahoma" w:cs="Tahoma"/>
          <w:sz w:val="22"/>
          <w:szCs w:val="22"/>
        </w:rPr>
        <w:t xml:space="preserve"> και την 31.12.201</w:t>
      </w:r>
      <w:r w:rsidR="005E7EDE">
        <w:rPr>
          <w:rFonts w:ascii="Tahoma" w:hAnsi="Tahoma" w:cs="Tahoma"/>
          <w:sz w:val="22"/>
          <w:szCs w:val="22"/>
        </w:rPr>
        <w:t>7</w:t>
      </w:r>
      <w:r w:rsidR="00A024F8" w:rsidRPr="00485A4C">
        <w:rPr>
          <w:rFonts w:ascii="Tahoma" w:hAnsi="Tahoma" w:cs="Tahoma"/>
          <w:sz w:val="22"/>
          <w:szCs w:val="22"/>
        </w:rPr>
        <w:t xml:space="preserve"> αναλύονται ως εξής :</w:t>
      </w:r>
    </w:p>
    <w:p w:rsidR="00CE6CE8" w:rsidRDefault="00CE6CE8" w:rsidP="00584CB5">
      <w:pPr>
        <w:spacing w:line="360" w:lineRule="auto"/>
        <w:ind w:left="-426"/>
        <w:jc w:val="both"/>
        <w:rPr>
          <w:rFonts w:ascii="Tahoma" w:hAnsi="Tahoma" w:cs="Tahoma"/>
          <w:sz w:val="22"/>
          <w:szCs w:val="22"/>
          <w:lang w:val="en-US"/>
        </w:rPr>
      </w:pPr>
    </w:p>
    <w:tbl>
      <w:tblPr>
        <w:tblW w:w="9229" w:type="dxa"/>
        <w:tblInd w:w="-709" w:type="dxa"/>
        <w:tblLook w:val="04A0" w:firstRow="1" w:lastRow="0" w:firstColumn="1" w:lastColumn="0" w:noHBand="0" w:noVBand="1"/>
      </w:tblPr>
      <w:tblGrid>
        <w:gridCol w:w="3544"/>
        <w:gridCol w:w="2695"/>
        <w:gridCol w:w="2990"/>
      </w:tblGrid>
      <w:tr w:rsidR="005E7EDE" w:rsidTr="005E7EDE">
        <w:trPr>
          <w:trHeight w:val="276"/>
        </w:trPr>
        <w:tc>
          <w:tcPr>
            <w:tcW w:w="3544" w:type="dxa"/>
            <w:tcBorders>
              <w:top w:val="nil"/>
              <w:left w:val="nil"/>
              <w:bottom w:val="nil"/>
              <w:right w:val="nil"/>
            </w:tcBorders>
            <w:shd w:val="clear" w:color="000000" w:fill="E6E6E6"/>
            <w:noWrap/>
            <w:vAlign w:val="bottom"/>
            <w:hideMark/>
          </w:tcPr>
          <w:p w:rsidR="005E7EDE" w:rsidRDefault="005E7EDE">
            <w:pPr>
              <w:rPr>
                <w:rFonts w:ascii="Tahoma" w:hAnsi="Tahoma" w:cs="Tahoma"/>
                <w:b/>
                <w:bCs/>
                <w:sz w:val="18"/>
                <w:szCs w:val="18"/>
              </w:rPr>
            </w:pPr>
            <w:r>
              <w:rPr>
                <w:rFonts w:ascii="Tahoma" w:hAnsi="Tahoma" w:cs="Tahoma"/>
                <w:b/>
                <w:bCs/>
                <w:sz w:val="18"/>
                <w:szCs w:val="18"/>
              </w:rPr>
              <w:t> </w:t>
            </w:r>
          </w:p>
        </w:tc>
        <w:tc>
          <w:tcPr>
            <w:tcW w:w="2693" w:type="dxa"/>
            <w:tcBorders>
              <w:top w:val="nil"/>
              <w:left w:val="nil"/>
              <w:bottom w:val="nil"/>
              <w:right w:val="nil"/>
            </w:tcBorders>
            <w:shd w:val="clear" w:color="000000" w:fill="E6E6E6"/>
            <w:hideMark/>
          </w:tcPr>
          <w:p w:rsidR="005E7EDE" w:rsidRDefault="005E7EDE">
            <w:pPr>
              <w:jc w:val="center"/>
              <w:rPr>
                <w:rFonts w:ascii="Tahoma" w:hAnsi="Tahoma" w:cs="Tahoma"/>
                <w:b/>
                <w:bCs/>
                <w:sz w:val="18"/>
                <w:szCs w:val="18"/>
              </w:rPr>
            </w:pPr>
            <w:r>
              <w:rPr>
                <w:rFonts w:ascii="Tahoma" w:hAnsi="Tahoma" w:cs="Tahoma"/>
                <w:b/>
                <w:bCs/>
                <w:sz w:val="18"/>
                <w:szCs w:val="18"/>
              </w:rPr>
              <w:t>31.12.2018</w:t>
            </w:r>
          </w:p>
        </w:tc>
        <w:tc>
          <w:tcPr>
            <w:tcW w:w="2990" w:type="dxa"/>
            <w:tcBorders>
              <w:top w:val="nil"/>
              <w:left w:val="nil"/>
              <w:bottom w:val="nil"/>
              <w:right w:val="nil"/>
            </w:tcBorders>
            <w:shd w:val="clear" w:color="000000" w:fill="E6E6E6"/>
            <w:hideMark/>
          </w:tcPr>
          <w:p w:rsidR="005E7EDE" w:rsidRDefault="005E7EDE">
            <w:pPr>
              <w:jc w:val="center"/>
              <w:rPr>
                <w:rFonts w:ascii="Tahoma" w:hAnsi="Tahoma" w:cs="Tahoma"/>
                <w:b/>
                <w:bCs/>
                <w:sz w:val="18"/>
                <w:szCs w:val="18"/>
              </w:rPr>
            </w:pPr>
            <w:r>
              <w:rPr>
                <w:rFonts w:ascii="Tahoma" w:hAnsi="Tahoma" w:cs="Tahoma"/>
                <w:b/>
                <w:bCs/>
                <w:sz w:val="18"/>
                <w:szCs w:val="18"/>
              </w:rPr>
              <w:t>31.12.2017</w:t>
            </w:r>
          </w:p>
        </w:tc>
      </w:tr>
      <w:tr w:rsidR="005E7EDE" w:rsidTr="005E7EDE">
        <w:trPr>
          <w:trHeight w:val="360"/>
        </w:trPr>
        <w:tc>
          <w:tcPr>
            <w:tcW w:w="6239" w:type="dxa"/>
            <w:gridSpan w:val="2"/>
            <w:tcBorders>
              <w:top w:val="nil"/>
              <w:left w:val="nil"/>
              <w:bottom w:val="nil"/>
              <w:right w:val="nil"/>
            </w:tcBorders>
            <w:shd w:val="clear" w:color="auto" w:fill="auto"/>
            <w:noWrap/>
            <w:vAlign w:val="bottom"/>
            <w:hideMark/>
          </w:tcPr>
          <w:p w:rsidR="005E7EDE" w:rsidRDefault="005E7EDE">
            <w:pPr>
              <w:rPr>
                <w:rFonts w:ascii="Tahoma" w:hAnsi="Tahoma" w:cs="Tahoma"/>
                <w:b/>
                <w:bCs/>
                <w:sz w:val="18"/>
                <w:szCs w:val="18"/>
                <w:u w:val="single"/>
              </w:rPr>
            </w:pPr>
            <w:r>
              <w:rPr>
                <w:rFonts w:ascii="Tahoma" w:hAnsi="Tahoma" w:cs="Tahoma"/>
                <w:b/>
                <w:bCs/>
                <w:sz w:val="18"/>
                <w:szCs w:val="18"/>
                <w:u w:val="single"/>
              </w:rPr>
              <w:t>Αναβαλλόμενες φορολογικές υποχρεώσεις</w:t>
            </w:r>
          </w:p>
        </w:tc>
        <w:tc>
          <w:tcPr>
            <w:tcW w:w="2990" w:type="dxa"/>
            <w:tcBorders>
              <w:top w:val="nil"/>
              <w:left w:val="nil"/>
              <w:bottom w:val="nil"/>
              <w:right w:val="nil"/>
            </w:tcBorders>
            <w:shd w:val="clear" w:color="auto" w:fill="auto"/>
            <w:noWrap/>
            <w:vAlign w:val="bottom"/>
            <w:hideMark/>
          </w:tcPr>
          <w:p w:rsidR="005E7EDE" w:rsidRDefault="005E7EDE">
            <w:pPr>
              <w:rPr>
                <w:rFonts w:ascii="Tahoma" w:hAnsi="Tahoma" w:cs="Tahoma"/>
                <w:b/>
                <w:bCs/>
                <w:sz w:val="18"/>
                <w:szCs w:val="18"/>
                <w:u w:val="single"/>
              </w:rPr>
            </w:pPr>
          </w:p>
        </w:tc>
      </w:tr>
      <w:tr w:rsidR="005E7EDE" w:rsidTr="005E7EDE">
        <w:trPr>
          <w:trHeight w:val="135"/>
        </w:trPr>
        <w:tc>
          <w:tcPr>
            <w:tcW w:w="3544" w:type="dxa"/>
            <w:tcBorders>
              <w:top w:val="nil"/>
              <w:left w:val="nil"/>
              <w:bottom w:val="nil"/>
              <w:right w:val="nil"/>
            </w:tcBorders>
            <w:shd w:val="clear" w:color="auto" w:fill="auto"/>
            <w:noWrap/>
            <w:vAlign w:val="bottom"/>
            <w:hideMark/>
          </w:tcPr>
          <w:p w:rsidR="005E7EDE" w:rsidRDefault="005E7EDE">
            <w:pPr>
              <w:rPr>
                <w:sz w:val="20"/>
                <w:szCs w:val="20"/>
              </w:rPr>
            </w:pPr>
          </w:p>
        </w:tc>
        <w:tc>
          <w:tcPr>
            <w:tcW w:w="2693" w:type="dxa"/>
            <w:tcBorders>
              <w:top w:val="nil"/>
              <w:left w:val="nil"/>
              <w:bottom w:val="nil"/>
              <w:right w:val="nil"/>
            </w:tcBorders>
            <w:shd w:val="clear" w:color="auto" w:fill="auto"/>
            <w:noWrap/>
            <w:vAlign w:val="bottom"/>
            <w:hideMark/>
          </w:tcPr>
          <w:p w:rsidR="005E7EDE" w:rsidRDefault="005E7EDE">
            <w:pPr>
              <w:rPr>
                <w:sz w:val="20"/>
                <w:szCs w:val="20"/>
              </w:rPr>
            </w:pPr>
          </w:p>
        </w:tc>
        <w:tc>
          <w:tcPr>
            <w:tcW w:w="2990" w:type="dxa"/>
            <w:tcBorders>
              <w:top w:val="nil"/>
              <w:left w:val="nil"/>
              <w:bottom w:val="nil"/>
              <w:right w:val="nil"/>
            </w:tcBorders>
            <w:shd w:val="clear" w:color="auto" w:fill="auto"/>
            <w:noWrap/>
            <w:vAlign w:val="bottom"/>
            <w:hideMark/>
          </w:tcPr>
          <w:p w:rsidR="005E7EDE" w:rsidRDefault="005E7EDE">
            <w:pPr>
              <w:rPr>
                <w:sz w:val="20"/>
                <w:szCs w:val="20"/>
              </w:rPr>
            </w:pPr>
          </w:p>
        </w:tc>
      </w:tr>
      <w:tr w:rsidR="005E7EDE" w:rsidTr="005E7EDE">
        <w:trPr>
          <w:trHeight w:val="360"/>
        </w:trPr>
        <w:tc>
          <w:tcPr>
            <w:tcW w:w="6239" w:type="dxa"/>
            <w:gridSpan w:val="2"/>
            <w:tcBorders>
              <w:top w:val="nil"/>
              <w:left w:val="nil"/>
              <w:bottom w:val="nil"/>
              <w:right w:val="nil"/>
            </w:tcBorders>
            <w:shd w:val="clear" w:color="auto" w:fill="auto"/>
            <w:noWrap/>
            <w:vAlign w:val="bottom"/>
            <w:hideMark/>
          </w:tcPr>
          <w:p w:rsidR="005E7EDE" w:rsidRDefault="005E7EDE">
            <w:pPr>
              <w:rPr>
                <w:rFonts w:ascii="Tahoma" w:hAnsi="Tahoma" w:cs="Tahoma"/>
                <w:b/>
                <w:bCs/>
                <w:sz w:val="18"/>
                <w:szCs w:val="18"/>
              </w:rPr>
            </w:pPr>
            <w:r>
              <w:rPr>
                <w:rFonts w:ascii="Tahoma" w:hAnsi="Tahoma" w:cs="Tahoma"/>
                <w:b/>
                <w:bCs/>
                <w:sz w:val="18"/>
                <w:szCs w:val="18"/>
              </w:rPr>
              <w:t>Αναβαλλόμενες φορολογικές απαιτήσεις</w:t>
            </w:r>
          </w:p>
        </w:tc>
        <w:tc>
          <w:tcPr>
            <w:tcW w:w="2990" w:type="dxa"/>
            <w:tcBorders>
              <w:top w:val="nil"/>
              <w:left w:val="nil"/>
              <w:bottom w:val="nil"/>
              <w:right w:val="nil"/>
            </w:tcBorders>
            <w:shd w:val="clear" w:color="auto" w:fill="auto"/>
            <w:hideMark/>
          </w:tcPr>
          <w:p w:rsidR="005E7EDE" w:rsidRDefault="005E7EDE">
            <w:pPr>
              <w:rPr>
                <w:rFonts w:ascii="Tahoma" w:hAnsi="Tahoma" w:cs="Tahoma"/>
                <w:b/>
                <w:bCs/>
                <w:sz w:val="18"/>
                <w:szCs w:val="18"/>
              </w:rPr>
            </w:pPr>
          </w:p>
        </w:tc>
      </w:tr>
      <w:tr w:rsidR="005E7EDE" w:rsidTr="005E7EDE">
        <w:trPr>
          <w:trHeight w:val="360"/>
        </w:trPr>
        <w:tc>
          <w:tcPr>
            <w:tcW w:w="3544"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Πρόβλεψη αποζημίωσης προσωπικού</w:t>
            </w:r>
          </w:p>
        </w:tc>
        <w:tc>
          <w:tcPr>
            <w:tcW w:w="2693"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1.660,69</w:t>
            </w:r>
          </w:p>
        </w:tc>
        <w:tc>
          <w:tcPr>
            <w:tcW w:w="2990"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7.028,81</w:t>
            </w:r>
          </w:p>
        </w:tc>
      </w:tr>
      <w:tr w:rsidR="005E7EDE" w:rsidTr="005E7EDE">
        <w:trPr>
          <w:trHeight w:val="360"/>
        </w:trPr>
        <w:tc>
          <w:tcPr>
            <w:tcW w:w="3544"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Διαγραφές &amp; αποσβέσεις εξόδων πολυετούς απόσβεσης</w:t>
            </w:r>
          </w:p>
        </w:tc>
        <w:tc>
          <w:tcPr>
            <w:tcW w:w="2693"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 xml:space="preserve">                                 (1.454,96)</w:t>
            </w:r>
          </w:p>
        </w:tc>
        <w:tc>
          <w:tcPr>
            <w:tcW w:w="2990"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 xml:space="preserve">                                         (653,08)</w:t>
            </w:r>
          </w:p>
        </w:tc>
      </w:tr>
      <w:tr w:rsidR="005E7EDE" w:rsidTr="005E7EDE">
        <w:trPr>
          <w:trHeight w:val="360"/>
        </w:trPr>
        <w:tc>
          <w:tcPr>
            <w:tcW w:w="3544"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Προβλέψεις για επισφαλείς απαιτήσεις</w:t>
            </w:r>
          </w:p>
        </w:tc>
        <w:tc>
          <w:tcPr>
            <w:tcW w:w="2693"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0,00</w:t>
            </w:r>
          </w:p>
        </w:tc>
        <w:tc>
          <w:tcPr>
            <w:tcW w:w="2990"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9.570,00</w:t>
            </w:r>
          </w:p>
        </w:tc>
      </w:tr>
      <w:tr w:rsidR="005E7EDE" w:rsidTr="005E7EDE">
        <w:trPr>
          <w:trHeight w:val="360"/>
        </w:trPr>
        <w:tc>
          <w:tcPr>
            <w:tcW w:w="3544" w:type="dxa"/>
            <w:tcBorders>
              <w:top w:val="nil"/>
              <w:left w:val="nil"/>
              <w:bottom w:val="nil"/>
              <w:right w:val="nil"/>
            </w:tcBorders>
            <w:shd w:val="clear" w:color="auto" w:fill="auto"/>
            <w:noWrap/>
            <w:vAlign w:val="bottom"/>
            <w:hideMark/>
          </w:tcPr>
          <w:p w:rsidR="005E7EDE" w:rsidRDefault="005E7EDE">
            <w:pPr>
              <w:rPr>
                <w:rFonts w:ascii="Tahoma" w:hAnsi="Tahoma" w:cs="Tahoma"/>
                <w:b/>
                <w:bCs/>
                <w:sz w:val="18"/>
                <w:szCs w:val="18"/>
              </w:rPr>
            </w:pPr>
            <w:r>
              <w:rPr>
                <w:rFonts w:ascii="Tahoma" w:hAnsi="Tahoma" w:cs="Tahoma"/>
                <w:b/>
                <w:bCs/>
                <w:sz w:val="18"/>
                <w:szCs w:val="18"/>
              </w:rPr>
              <w:t>Σύνολο απαιτήσεων</w:t>
            </w:r>
          </w:p>
        </w:tc>
        <w:tc>
          <w:tcPr>
            <w:tcW w:w="2693" w:type="dxa"/>
            <w:tcBorders>
              <w:top w:val="single" w:sz="4" w:space="0" w:color="auto"/>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205,73</w:t>
            </w:r>
          </w:p>
        </w:tc>
        <w:tc>
          <w:tcPr>
            <w:tcW w:w="2990" w:type="dxa"/>
            <w:tcBorders>
              <w:top w:val="single" w:sz="4" w:space="0" w:color="auto"/>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15.945,73</w:t>
            </w:r>
          </w:p>
        </w:tc>
      </w:tr>
      <w:tr w:rsidR="005E7EDE" w:rsidTr="005E7EDE">
        <w:trPr>
          <w:trHeight w:val="360"/>
        </w:trPr>
        <w:tc>
          <w:tcPr>
            <w:tcW w:w="3544" w:type="dxa"/>
            <w:tcBorders>
              <w:top w:val="nil"/>
              <w:left w:val="nil"/>
              <w:bottom w:val="nil"/>
              <w:right w:val="nil"/>
            </w:tcBorders>
            <w:shd w:val="clear" w:color="auto" w:fill="auto"/>
            <w:noWrap/>
            <w:vAlign w:val="bottom"/>
            <w:hideMark/>
          </w:tcPr>
          <w:p w:rsidR="005E7EDE" w:rsidRDefault="005E7EDE">
            <w:pPr>
              <w:jc w:val="right"/>
              <w:rPr>
                <w:rFonts w:ascii="Tahoma" w:hAnsi="Tahoma" w:cs="Tahoma"/>
                <w:b/>
                <w:bCs/>
                <w:sz w:val="18"/>
                <w:szCs w:val="18"/>
              </w:rPr>
            </w:pPr>
          </w:p>
        </w:tc>
        <w:tc>
          <w:tcPr>
            <w:tcW w:w="2693" w:type="dxa"/>
            <w:tcBorders>
              <w:top w:val="nil"/>
              <w:left w:val="nil"/>
              <w:bottom w:val="nil"/>
              <w:right w:val="nil"/>
            </w:tcBorders>
            <w:shd w:val="clear" w:color="auto" w:fill="auto"/>
            <w:noWrap/>
            <w:vAlign w:val="bottom"/>
            <w:hideMark/>
          </w:tcPr>
          <w:p w:rsidR="005E7EDE" w:rsidRDefault="005E7EDE" w:rsidP="005E7EDE">
            <w:pPr>
              <w:jc w:val="right"/>
              <w:rPr>
                <w:sz w:val="20"/>
                <w:szCs w:val="20"/>
              </w:rPr>
            </w:pPr>
          </w:p>
        </w:tc>
        <w:tc>
          <w:tcPr>
            <w:tcW w:w="2990" w:type="dxa"/>
            <w:tcBorders>
              <w:top w:val="nil"/>
              <w:left w:val="nil"/>
              <w:bottom w:val="nil"/>
              <w:right w:val="nil"/>
            </w:tcBorders>
            <w:shd w:val="clear" w:color="auto" w:fill="auto"/>
            <w:noWrap/>
            <w:vAlign w:val="bottom"/>
            <w:hideMark/>
          </w:tcPr>
          <w:p w:rsidR="005E7EDE" w:rsidRDefault="005E7EDE" w:rsidP="005E7EDE">
            <w:pPr>
              <w:jc w:val="right"/>
              <w:rPr>
                <w:sz w:val="20"/>
                <w:szCs w:val="20"/>
              </w:rPr>
            </w:pPr>
          </w:p>
        </w:tc>
      </w:tr>
      <w:tr w:rsidR="005E7EDE" w:rsidTr="005E7EDE">
        <w:trPr>
          <w:trHeight w:val="360"/>
        </w:trPr>
        <w:tc>
          <w:tcPr>
            <w:tcW w:w="6239" w:type="dxa"/>
            <w:gridSpan w:val="2"/>
            <w:tcBorders>
              <w:top w:val="nil"/>
              <w:left w:val="nil"/>
              <w:bottom w:val="nil"/>
              <w:right w:val="nil"/>
            </w:tcBorders>
            <w:shd w:val="clear" w:color="auto" w:fill="auto"/>
            <w:noWrap/>
            <w:vAlign w:val="bottom"/>
            <w:hideMark/>
          </w:tcPr>
          <w:p w:rsidR="005E7EDE" w:rsidRDefault="005E7EDE">
            <w:pPr>
              <w:rPr>
                <w:rFonts w:ascii="Tahoma" w:hAnsi="Tahoma" w:cs="Tahoma"/>
                <w:b/>
                <w:bCs/>
                <w:sz w:val="18"/>
                <w:szCs w:val="18"/>
              </w:rPr>
            </w:pPr>
            <w:r>
              <w:rPr>
                <w:rFonts w:ascii="Tahoma" w:hAnsi="Tahoma" w:cs="Tahoma"/>
                <w:b/>
                <w:bCs/>
                <w:sz w:val="18"/>
                <w:szCs w:val="18"/>
              </w:rPr>
              <w:t>Αναβαλλόμενες φορολογικές υποχρεώσεις</w:t>
            </w:r>
          </w:p>
        </w:tc>
        <w:tc>
          <w:tcPr>
            <w:tcW w:w="2990" w:type="dxa"/>
            <w:tcBorders>
              <w:top w:val="nil"/>
              <w:left w:val="nil"/>
              <w:bottom w:val="nil"/>
              <w:right w:val="nil"/>
            </w:tcBorders>
            <w:shd w:val="clear" w:color="auto" w:fill="auto"/>
            <w:noWrap/>
            <w:vAlign w:val="bottom"/>
            <w:hideMark/>
          </w:tcPr>
          <w:p w:rsidR="005E7EDE" w:rsidRDefault="005E7EDE">
            <w:pPr>
              <w:rPr>
                <w:rFonts w:ascii="Tahoma" w:hAnsi="Tahoma" w:cs="Tahoma"/>
                <w:b/>
                <w:bCs/>
                <w:sz w:val="18"/>
                <w:szCs w:val="18"/>
              </w:rPr>
            </w:pPr>
          </w:p>
        </w:tc>
      </w:tr>
      <w:tr w:rsidR="005E7EDE" w:rsidTr="005E7EDE">
        <w:trPr>
          <w:trHeight w:val="360"/>
        </w:trPr>
        <w:tc>
          <w:tcPr>
            <w:tcW w:w="3544"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lastRenderedPageBreak/>
              <w:t>Αποσβέσεις μηχανημάτων</w:t>
            </w:r>
          </w:p>
        </w:tc>
        <w:tc>
          <w:tcPr>
            <w:tcW w:w="2693"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 xml:space="preserve">                                   (427,85)</w:t>
            </w:r>
          </w:p>
        </w:tc>
        <w:tc>
          <w:tcPr>
            <w:tcW w:w="2990"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3.136,07</w:t>
            </w:r>
          </w:p>
        </w:tc>
      </w:tr>
      <w:tr w:rsidR="005E7EDE" w:rsidTr="005E7EDE">
        <w:trPr>
          <w:trHeight w:val="360"/>
        </w:trPr>
        <w:tc>
          <w:tcPr>
            <w:tcW w:w="3544"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Αποσβέσεις κτιρίων</w:t>
            </w:r>
          </w:p>
        </w:tc>
        <w:tc>
          <w:tcPr>
            <w:tcW w:w="2693"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 xml:space="preserve">                                   (810,58)</w:t>
            </w:r>
          </w:p>
        </w:tc>
        <w:tc>
          <w:tcPr>
            <w:tcW w:w="2990"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182.088,02</w:t>
            </w:r>
          </w:p>
        </w:tc>
      </w:tr>
      <w:tr w:rsidR="005E7EDE" w:rsidTr="005E7EDE">
        <w:trPr>
          <w:trHeight w:val="360"/>
        </w:trPr>
        <w:tc>
          <w:tcPr>
            <w:tcW w:w="3544" w:type="dxa"/>
            <w:tcBorders>
              <w:top w:val="nil"/>
              <w:left w:val="nil"/>
              <w:bottom w:val="nil"/>
              <w:right w:val="nil"/>
            </w:tcBorders>
            <w:shd w:val="clear" w:color="auto" w:fill="auto"/>
            <w:noWrap/>
            <w:vAlign w:val="bottom"/>
            <w:hideMark/>
          </w:tcPr>
          <w:p w:rsidR="005E7EDE" w:rsidRDefault="005E7EDE">
            <w:pPr>
              <w:rPr>
                <w:rFonts w:ascii="Tahoma" w:hAnsi="Tahoma" w:cs="Tahoma"/>
                <w:b/>
                <w:bCs/>
                <w:sz w:val="18"/>
                <w:szCs w:val="18"/>
              </w:rPr>
            </w:pPr>
            <w:r>
              <w:rPr>
                <w:rFonts w:ascii="Tahoma" w:hAnsi="Tahoma" w:cs="Tahoma"/>
                <w:b/>
                <w:bCs/>
                <w:sz w:val="18"/>
                <w:szCs w:val="18"/>
              </w:rPr>
              <w:t>Σύνολο υποχρεώσεων</w:t>
            </w:r>
          </w:p>
        </w:tc>
        <w:tc>
          <w:tcPr>
            <w:tcW w:w="2693" w:type="dxa"/>
            <w:tcBorders>
              <w:top w:val="single" w:sz="4" w:space="0" w:color="auto"/>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-1.238,43</w:t>
            </w:r>
          </w:p>
        </w:tc>
        <w:tc>
          <w:tcPr>
            <w:tcW w:w="2990" w:type="dxa"/>
            <w:tcBorders>
              <w:top w:val="single" w:sz="4" w:space="0" w:color="auto"/>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185.224,09</w:t>
            </w:r>
          </w:p>
        </w:tc>
      </w:tr>
      <w:tr w:rsidR="005E7EDE" w:rsidTr="005E7EDE">
        <w:trPr>
          <w:trHeight w:val="360"/>
        </w:trPr>
        <w:tc>
          <w:tcPr>
            <w:tcW w:w="3544" w:type="dxa"/>
            <w:tcBorders>
              <w:top w:val="nil"/>
              <w:left w:val="nil"/>
              <w:bottom w:val="nil"/>
              <w:right w:val="nil"/>
            </w:tcBorders>
            <w:shd w:val="clear" w:color="auto" w:fill="auto"/>
            <w:noWrap/>
            <w:vAlign w:val="bottom"/>
            <w:hideMark/>
          </w:tcPr>
          <w:p w:rsidR="005E7EDE" w:rsidRDefault="005E7EDE">
            <w:pPr>
              <w:rPr>
                <w:rFonts w:ascii="Tahoma" w:hAnsi="Tahoma" w:cs="Tahoma"/>
                <w:b/>
                <w:bCs/>
                <w:sz w:val="18"/>
                <w:szCs w:val="18"/>
              </w:rPr>
            </w:pPr>
            <w:r>
              <w:rPr>
                <w:rFonts w:ascii="Tahoma" w:hAnsi="Tahoma" w:cs="Tahoma"/>
                <w:b/>
                <w:bCs/>
                <w:sz w:val="18"/>
                <w:szCs w:val="18"/>
              </w:rPr>
              <w:t>Συμψηφισμένο σύνολο</w:t>
            </w:r>
          </w:p>
        </w:tc>
        <w:tc>
          <w:tcPr>
            <w:tcW w:w="2693" w:type="dxa"/>
            <w:tcBorders>
              <w:top w:val="nil"/>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-1.444,16</w:t>
            </w:r>
          </w:p>
        </w:tc>
        <w:tc>
          <w:tcPr>
            <w:tcW w:w="2990" w:type="dxa"/>
            <w:tcBorders>
              <w:top w:val="nil"/>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169.278,36</w:t>
            </w:r>
          </w:p>
        </w:tc>
      </w:tr>
    </w:tbl>
    <w:p w:rsidR="005E7EDE" w:rsidRDefault="005E7EDE" w:rsidP="00584CB5">
      <w:pPr>
        <w:spacing w:line="360" w:lineRule="auto"/>
        <w:ind w:left="-426"/>
        <w:jc w:val="both"/>
        <w:rPr>
          <w:rFonts w:ascii="Tahoma" w:hAnsi="Tahoma" w:cs="Tahoma"/>
          <w:sz w:val="22"/>
          <w:szCs w:val="22"/>
          <w:lang w:val="en-US"/>
        </w:rPr>
      </w:pPr>
    </w:p>
    <w:p w:rsidR="005E7EDE" w:rsidRDefault="005E7EDE" w:rsidP="005E7EDE">
      <w:pPr>
        <w:spacing w:line="360" w:lineRule="auto"/>
        <w:jc w:val="both"/>
        <w:rPr>
          <w:rFonts w:ascii="Tahoma" w:hAnsi="Tahoma" w:cs="Tahoma"/>
          <w:sz w:val="22"/>
          <w:szCs w:val="22"/>
          <w:lang w:val="en-US"/>
        </w:rPr>
      </w:pPr>
    </w:p>
    <w:p w:rsidR="005E7EDE" w:rsidRPr="00485A4C" w:rsidRDefault="005E7EDE" w:rsidP="00584CB5">
      <w:pPr>
        <w:spacing w:line="360" w:lineRule="auto"/>
        <w:ind w:left="-426"/>
        <w:jc w:val="both"/>
        <w:rPr>
          <w:rFonts w:ascii="Tahoma" w:hAnsi="Tahoma" w:cs="Tahoma"/>
          <w:sz w:val="22"/>
          <w:szCs w:val="22"/>
          <w:highlight w:val="red"/>
        </w:rPr>
      </w:pPr>
    </w:p>
    <w:p w:rsidR="00480197" w:rsidRPr="00485A4C" w:rsidRDefault="00480197" w:rsidP="00480197">
      <w:pPr>
        <w:autoSpaceDE w:val="0"/>
        <w:autoSpaceDN w:val="0"/>
        <w:adjustRightInd w:val="0"/>
        <w:spacing w:line="360" w:lineRule="auto"/>
        <w:ind w:left="-539"/>
        <w:jc w:val="both"/>
        <w:rPr>
          <w:rFonts w:ascii="Tahoma" w:hAnsi="Tahoma" w:cs="Tahoma"/>
          <w:sz w:val="22"/>
          <w:szCs w:val="22"/>
        </w:rPr>
      </w:pPr>
      <w:r w:rsidRPr="00485A4C">
        <w:rPr>
          <w:rFonts w:ascii="Tahoma" w:hAnsi="Tahoma" w:cs="Tahoma"/>
          <w:sz w:val="22"/>
          <w:szCs w:val="22"/>
        </w:rPr>
        <w:t>Οι αναβαλλόμενες φορολογικές απαιτήσεις και υποχρεώσεις συμψηφίζονται όταν υπάρχει νομικό δικαίωμα να συμψηφισθούν και όταν οι αναβαλλόμενοι φόροι εισοδήματος αφορούν την ίδια φορολογική αρχή.</w:t>
      </w:r>
      <w:r w:rsidR="008A03C7" w:rsidRPr="00485A4C">
        <w:rPr>
          <w:rFonts w:ascii="Tahoma" w:hAnsi="Tahoma" w:cs="Tahoma"/>
          <w:sz w:val="22"/>
          <w:szCs w:val="22"/>
        </w:rPr>
        <w:t xml:space="preserve"> </w:t>
      </w:r>
    </w:p>
    <w:p w:rsidR="00BE65F3" w:rsidRPr="00485A4C" w:rsidRDefault="00BE65F3" w:rsidP="00BE65F3">
      <w:pPr>
        <w:pStyle w:val="Heading2"/>
        <w:spacing w:before="0" w:after="0" w:line="360" w:lineRule="auto"/>
        <w:ind w:left="-539"/>
        <w:rPr>
          <w:rFonts w:ascii="Tahoma" w:hAnsi="Tahoma" w:cs="Tahoma"/>
          <w:i w:val="0"/>
          <w:sz w:val="22"/>
          <w:szCs w:val="22"/>
          <w:highlight w:val="red"/>
          <w:lang w:val="el-GR"/>
        </w:rPr>
      </w:pPr>
    </w:p>
    <w:p w:rsidR="00203F12" w:rsidRPr="00485A4C" w:rsidRDefault="00203F12" w:rsidP="00203F12">
      <w:pPr>
        <w:rPr>
          <w:rFonts w:ascii="Tahoma" w:hAnsi="Tahoma" w:cs="Tahoma"/>
          <w:highlight w:val="red"/>
          <w:lang w:eastAsia="x-none"/>
        </w:rPr>
      </w:pPr>
    </w:p>
    <w:p w:rsidR="00BE65F3" w:rsidRPr="00485A4C" w:rsidRDefault="00BE65F3" w:rsidP="00BE65F3">
      <w:pPr>
        <w:pStyle w:val="Heading2"/>
        <w:spacing w:before="0" w:after="0" w:line="360" w:lineRule="auto"/>
        <w:ind w:left="-539"/>
        <w:rPr>
          <w:rFonts w:ascii="Tahoma" w:hAnsi="Tahoma" w:cs="Tahoma"/>
          <w:i w:val="0"/>
          <w:sz w:val="22"/>
          <w:szCs w:val="22"/>
        </w:rPr>
      </w:pPr>
      <w:bookmarkStart w:id="48" w:name="_Toc526260614"/>
      <w:r w:rsidRPr="00485A4C">
        <w:rPr>
          <w:rFonts w:ascii="Tahoma" w:hAnsi="Tahoma" w:cs="Tahoma"/>
          <w:i w:val="0"/>
          <w:sz w:val="22"/>
          <w:szCs w:val="22"/>
        </w:rPr>
        <w:t>7.13. Κρατικές επιχορηγήσεις</w:t>
      </w:r>
      <w:bookmarkEnd w:id="48"/>
    </w:p>
    <w:p w:rsidR="00537AAA" w:rsidRPr="00485A4C" w:rsidRDefault="00537AAA" w:rsidP="00480197">
      <w:pPr>
        <w:autoSpaceDE w:val="0"/>
        <w:autoSpaceDN w:val="0"/>
        <w:adjustRightInd w:val="0"/>
        <w:spacing w:line="360" w:lineRule="auto"/>
        <w:ind w:left="-539"/>
        <w:jc w:val="both"/>
        <w:rPr>
          <w:rFonts w:ascii="Tahoma" w:hAnsi="Tahoma" w:cs="Tahoma"/>
          <w:sz w:val="22"/>
          <w:szCs w:val="22"/>
          <w:highlight w:val="red"/>
        </w:rPr>
      </w:pPr>
    </w:p>
    <w:p w:rsidR="00584CB5" w:rsidRPr="00485A4C" w:rsidRDefault="00584CB5" w:rsidP="00480197">
      <w:pPr>
        <w:autoSpaceDE w:val="0"/>
        <w:autoSpaceDN w:val="0"/>
        <w:adjustRightInd w:val="0"/>
        <w:spacing w:line="360" w:lineRule="auto"/>
        <w:ind w:left="-539"/>
        <w:jc w:val="both"/>
        <w:rPr>
          <w:rFonts w:ascii="Tahoma" w:hAnsi="Tahoma" w:cs="Tahoma"/>
        </w:rPr>
      </w:pPr>
      <w:r w:rsidRPr="00485A4C">
        <w:rPr>
          <w:rFonts w:ascii="Tahoma" w:hAnsi="Tahoma" w:cs="Tahoma"/>
        </w:rPr>
        <w:t>Οι κρατικές επιχορηγήσεις αφορούν επιχορηγήσεις από το Ελληνικό Δημόσιο για την κατασκευή του εργοστασίου της επιχείρησης και την απόκτηση πάγιων χρηματοοικονομικών στοιχείων. Οι κρατικές επιχορηγήσεις μειώνονται σε ετήσια βάση με μεταφορά αναλογίας τους στα αποτελέσματα χρήσης, με βάση την αναλογία των ετήσιων αποσβέσεων των συγκεκριμένων παγίων.</w:t>
      </w:r>
    </w:p>
    <w:p w:rsidR="00346AF9" w:rsidRPr="00485A4C" w:rsidRDefault="00346AF9" w:rsidP="00480197">
      <w:pPr>
        <w:autoSpaceDE w:val="0"/>
        <w:autoSpaceDN w:val="0"/>
        <w:adjustRightInd w:val="0"/>
        <w:spacing w:line="360" w:lineRule="auto"/>
        <w:ind w:left="-539"/>
        <w:jc w:val="both"/>
        <w:rPr>
          <w:rFonts w:ascii="Tahoma" w:hAnsi="Tahoma" w:cs="Tahoma"/>
          <w:sz w:val="22"/>
          <w:szCs w:val="22"/>
        </w:rPr>
      </w:pPr>
      <w:r w:rsidRPr="00485A4C">
        <w:rPr>
          <w:rFonts w:ascii="Tahoma" w:hAnsi="Tahoma" w:cs="Tahoma"/>
          <w:sz w:val="22"/>
          <w:szCs w:val="22"/>
        </w:rPr>
        <w:t xml:space="preserve">Οι </w:t>
      </w:r>
      <w:r w:rsidRPr="00485A4C">
        <w:rPr>
          <w:rFonts w:ascii="Tahoma" w:hAnsi="Tahoma" w:cs="Tahoma"/>
        </w:rPr>
        <w:t>κρατικές επιχορηγήσεις</w:t>
      </w:r>
      <w:r w:rsidRPr="00485A4C">
        <w:rPr>
          <w:rFonts w:ascii="Tahoma" w:hAnsi="Tahoma" w:cs="Tahoma"/>
          <w:sz w:val="22"/>
          <w:szCs w:val="22"/>
        </w:rPr>
        <w:t xml:space="preserve"> που αναμένεται να μεταφερθούν στα αποτελέσματα χρήσης την επόμενη χρήση συμπεριλαμβάνονται στο υπόλοιπο των εσόδων επόμενης χρήσης.</w:t>
      </w:r>
    </w:p>
    <w:p w:rsidR="004E1486" w:rsidRPr="00485A4C" w:rsidRDefault="004E1486" w:rsidP="00480197">
      <w:pPr>
        <w:autoSpaceDE w:val="0"/>
        <w:autoSpaceDN w:val="0"/>
        <w:adjustRightInd w:val="0"/>
        <w:spacing w:line="360" w:lineRule="auto"/>
        <w:ind w:left="-539"/>
        <w:jc w:val="both"/>
        <w:rPr>
          <w:rFonts w:ascii="Tahoma" w:hAnsi="Tahoma" w:cs="Tahoma"/>
          <w:sz w:val="22"/>
          <w:szCs w:val="22"/>
        </w:rPr>
      </w:pPr>
    </w:p>
    <w:p w:rsidR="00480197" w:rsidRPr="00485A4C" w:rsidRDefault="005D64C9" w:rsidP="0053013E">
      <w:pPr>
        <w:pStyle w:val="Heading2"/>
        <w:spacing w:before="0" w:after="0" w:line="360" w:lineRule="auto"/>
        <w:ind w:left="-539"/>
        <w:rPr>
          <w:rFonts w:ascii="Tahoma" w:hAnsi="Tahoma" w:cs="Tahoma"/>
          <w:i w:val="0"/>
          <w:sz w:val="22"/>
          <w:szCs w:val="22"/>
        </w:rPr>
      </w:pPr>
      <w:bookmarkStart w:id="49" w:name="_Toc178753445"/>
      <w:bookmarkStart w:id="50" w:name="_Toc526260615"/>
      <w:r w:rsidRPr="00485A4C">
        <w:rPr>
          <w:rFonts w:ascii="Tahoma" w:hAnsi="Tahoma" w:cs="Tahoma"/>
          <w:i w:val="0"/>
          <w:sz w:val="22"/>
          <w:szCs w:val="22"/>
        </w:rPr>
        <w:t>7</w:t>
      </w:r>
      <w:r w:rsidR="00926485" w:rsidRPr="00485A4C">
        <w:rPr>
          <w:rFonts w:ascii="Tahoma" w:hAnsi="Tahoma" w:cs="Tahoma"/>
          <w:i w:val="0"/>
          <w:sz w:val="22"/>
          <w:szCs w:val="22"/>
        </w:rPr>
        <w:t>.1</w:t>
      </w:r>
      <w:r w:rsidR="00BE65F3" w:rsidRPr="00485A4C">
        <w:rPr>
          <w:rFonts w:ascii="Tahoma" w:hAnsi="Tahoma" w:cs="Tahoma"/>
          <w:i w:val="0"/>
          <w:sz w:val="22"/>
          <w:szCs w:val="22"/>
        </w:rPr>
        <w:t>4</w:t>
      </w:r>
      <w:r w:rsidR="00480197" w:rsidRPr="00485A4C">
        <w:rPr>
          <w:rFonts w:ascii="Tahoma" w:hAnsi="Tahoma" w:cs="Tahoma"/>
          <w:i w:val="0"/>
          <w:sz w:val="22"/>
          <w:szCs w:val="22"/>
        </w:rPr>
        <w:t xml:space="preserve">. Προμηθευτές και λοιπές </w:t>
      </w:r>
      <w:r w:rsidR="00BE65F3" w:rsidRPr="00485A4C">
        <w:rPr>
          <w:rFonts w:ascii="Tahoma" w:hAnsi="Tahoma" w:cs="Tahoma"/>
          <w:i w:val="0"/>
          <w:sz w:val="22"/>
          <w:szCs w:val="22"/>
        </w:rPr>
        <w:t xml:space="preserve">εμπορικές </w:t>
      </w:r>
      <w:r w:rsidR="00480197" w:rsidRPr="00485A4C">
        <w:rPr>
          <w:rFonts w:ascii="Tahoma" w:hAnsi="Tahoma" w:cs="Tahoma"/>
          <w:i w:val="0"/>
          <w:sz w:val="22"/>
          <w:szCs w:val="22"/>
        </w:rPr>
        <w:t>υποχρεώσεις</w:t>
      </w:r>
      <w:bookmarkEnd w:id="49"/>
      <w:bookmarkEnd w:id="50"/>
    </w:p>
    <w:p w:rsidR="0063472E" w:rsidRPr="00485A4C" w:rsidRDefault="0063472E" w:rsidP="0053013E">
      <w:pPr>
        <w:pStyle w:val="Heading2"/>
        <w:spacing w:before="0" w:after="0" w:line="360" w:lineRule="auto"/>
        <w:ind w:left="-539"/>
        <w:rPr>
          <w:rFonts w:ascii="Tahoma" w:hAnsi="Tahoma" w:cs="Tahoma"/>
          <w:i w:val="0"/>
          <w:sz w:val="22"/>
          <w:szCs w:val="22"/>
        </w:rPr>
      </w:pPr>
    </w:p>
    <w:p w:rsidR="00480197" w:rsidRPr="00485A4C" w:rsidRDefault="00480197" w:rsidP="00480197">
      <w:pPr>
        <w:ind w:left="-540"/>
        <w:jc w:val="both"/>
        <w:rPr>
          <w:rFonts w:ascii="Tahoma" w:hAnsi="Tahoma" w:cs="Tahoma"/>
          <w:sz w:val="22"/>
          <w:szCs w:val="22"/>
        </w:rPr>
      </w:pPr>
      <w:r w:rsidRPr="00485A4C">
        <w:rPr>
          <w:rFonts w:ascii="Tahoma" w:hAnsi="Tahoma" w:cs="Tahoma"/>
          <w:sz w:val="22"/>
          <w:szCs w:val="22"/>
        </w:rPr>
        <w:t>Τα υπόλοιπα των προμηθευτών και λοιπών υπ</w:t>
      </w:r>
      <w:r w:rsidR="000267B7" w:rsidRPr="00485A4C">
        <w:rPr>
          <w:rFonts w:ascii="Tahoma" w:hAnsi="Tahoma" w:cs="Tahoma"/>
          <w:sz w:val="22"/>
          <w:szCs w:val="22"/>
        </w:rPr>
        <w:t>οχρεώσεων αναλύονται ως εξής:</w:t>
      </w:r>
    </w:p>
    <w:p w:rsidR="000267B7" w:rsidRPr="00485A4C" w:rsidRDefault="000267B7" w:rsidP="00480197">
      <w:pPr>
        <w:ind w:left="-540"/>
        <w:jc w:val="both"/>
        <w:rPr>
          <w:rFonts w:ascii="Tahoma" w:hAnsi="Tahoma" w:cs="Tahoma"/>
          <w:sz w:val="22"/>
          <w:szCs w:val="22"/>
        </w:rPr>
      </w:pPr>
    </w:p>
    <w:p w:rsidR="000267B7" w:rsidRDefault="000267B7" w:rsidP="004A01F3">
      <w:pPr>
        <w:ind w:left="-426"/>
        <w:jc w:val="both"/>
        <w:rPr>
          <w:rFonts w:ascii="Tahoma" w:hAnsi="Tahoma" w:cs="Tahoma"/>
          <w:sz w:val="22"/>
          <w:szCs w:val="22"/>
          <w:lang w:val="en-US"/>
        </w:rPr>
      </w:pPr>
    </w:p>
    <w:tbl>
      <w:tblPr>
        <w:tblW w:w="9348" w:type="dxa"/>
        <w:tblInd w:w="-993" w:type="dxa"/>
        <w:tblLook w:val="04A0" w:firstRow="1" w:lastRow="0" w:firstColumn="1" w:lastColumn="0" w:noHBand="0" w:noVBand="1"/>
      </w:tblPr>
      <w:tblGrid>
        <w:gridCol w:w="3176"/>
        <w:gridCol w:w="2896"/>
        <w:gridCol w:w="3276"/>
      </w:tblGrid>
      <w:tr w:rsidR="005E7EDE" w:rsidTr="005E7EDE">
        <w:trPr>
          <w:trHeight w:val="276"/>
        </w:trPr>
        <w:tc>
          <w:tcPr>
            <w:tcW w:w="3176" w:type="dxa"/>
            <w:tcBorders>
              <w:top w:val="nil"/>
              <w:left w:val="nil"/>
              <w:bottom w:val="nil"/>
              <w:right w:val="nil"/>
            </w:tcBorders>
            <w:shd w:val="clear" w:color="000000" w:fill="E6E6E6"/>
            <w:noWrap/>
            <w:vAlign w:val="bottom"/>
            <w:hideMark/>
          </w:tcPr>
          <w:p w:rsidR="005E7EDE" w:rsidRDefault="005E7EDE">
            <w:pPr>
              <w:rPr>
                <w:rFonts w:ascii="Tahoma" w:hAnsi="Tahoma" w:cs="Tahoma"/>
                <w:b/>
                <w:bCs/>
                <w:sz w:val="18"/>
                <w:szCs w:val="18"/>
              </w:rPr>
            </w:pPr>
            <w:r>
              <w:rPr>
                <w:rFonts w:ascii="Tahoma" w:hAnsi="Tahoma" w:cs="Tahoma"/>
                <w:b/>
                <w:bCs/>
                <w:sz w:val="18"/>
                <w:szCs w:val="18"/>
              </w:rPr>
              <w:t> </w:t>
            </w:r>
          </w:p>
        </w:tc>
        <w:tc>
          <w:tcPr>
            <w:tcW w:w="2896" w:type="dxa"/>
            <w:tcBorders>
              <w:top w:val="nil"/>
              <w:left w:val="nil"/>
              <w:bottom w:val="nil"/>
              <w:right w:val="nil"/>
            </w:tcBorders>
            <w:shd w:val="clear" w:color="000000" w:fill="E6E6E6"/>
            <w:noWrap/>
            <w:vAlign w:val="bottom"/>
            <w:hideMark/>
          </w:tcPr>
          <w:p w:rsidR="005E7EDE" w:rsidRDefault="005E7EDE">
            <w:pPr>
              <w:jc w:val="center"/>
              <w:rPr>
                <w:rFonts w:ascii="Tahoma" w:hAnsi="Tahoma" w:cs="Tahoma"/>
                <w:b/>
                <w:bCs/>
                <w:sz w:val="18"/>
                <w:szCs w:val="18"/>
              </w:rPr>
            </w:pPr>
            <w:r>
              <w:rPr>
                <w:rFonts w:ascii="Tahoma" w:hAnsi="Tahoma" w:cs="Tahoma"/>
                <w:b/>
                <w:bCs/>
                <w:sz w:val="18"/>
                <w:szCs w:val="18"/>
              </w:rPr>
              <w:t>31.12.2018</w:t>
            </w:r>
          </w:p>
        </w:tc>
        <w:tc>
          <w:tcPr>
            <w:tcW w:w="3276" w:type="dxa"/>
            <w:tcBorders>
              <w:top w:val="nil"/>
              <w:left w:val="nil"/>
              <w:bottom w:val="nil"/>
              <w:right w:val="nil"/>
            </w:tcBorders>
            <w:shd w:val="clear" w:color="000000" w:fill="E6E6E6"/>
            <w:noWrap/>
            <w:vAlign w:val="bottom"/>
            <w:hideMark/>
          </w:tcPr>
          <w:p w:rsidR="005E7EDE" w:rsidRDefault="005E7EDE">
            <w:pPr>
              <w:jc w:val="center"/>
              <w:rPr>
                <w:rFonts w:ascii="Tahoma" w:hAnsi="Tahoma" w:cs="Tahoma"/>
                <w:b/>
                <w:bCs/>
                <w:sz w:val="18"/>
                <w:szCs w:val="18"/>
              </w:rPr>
            </w:pPr>
            <w:r>
              <w:rPr>
                <w:rFonts w:ascii="Tahoma" w:hAnsi="Tahoma" w:cs="Tahoma"/>
                <w:b/>
                <w:bCs/>
                <w:sz w:val="18"/>
                <w:szCs w:val="18"/>
              </w:rPr>
              <w:t>31.12.2017</w:t>
            </w:r>
          </w:p>
        </w:tc>
      </w:tr>
      <w:tr w:rsidR="005E7EDE" w:rsidTr="005E7EDE">
        <w:trPr>
          <w:trHeight w:val="360"/>
        </w:trPr>
        <w:tc>
          <w:tcPr>
            <w:tcW w:w="317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Προμηθευτές</w:t>
            </w:r>
          </w:p>
        </w:tc>
        <w:tc>
          <w:tcPr>
            <w:tcW w:w="2896" w:type="dxa"/>
            <w:tcBorders>
              <w:top w:val="nil"/>
              <w:left w:val="nil"/>
              <w:bottom w:val="nil"/>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68.289,46</w:t>
            </w:r>
          </w:p>
        </w:tc>
        <w:tc>
          <w:tcPr>
            <w:tcW w:w="3276" w:type="dxa"/>
            <w:tcBorders>
              <w:top w:val="nil"/>
              <w:left w:val="nil"/>
              <w:bottom w:val="nil"/>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69.141,82</w:t>
            </w:r>
          </w:p>
        </w:tc>
      </w:tr>
      <w:tr w:rsidR="005E7EDE" w:rsidTr="005E7EDE">
        <w:trPr>
          <w:trHeight w:val="360"/>
        </w:trPr>
        <w:tc>
          <w:tcPr>
            <w:tcW w:w="317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Προκαταβολές πελατών</w:t>
            </w:r>
          </w:p>
        </w:tc>
        <w:tc>
          <w:tcPr>
            <w:tcW w:w="2896" w:type="dxa"/>
            <w:tcBorders>
              <w:top w:val="nil"/>
              <w:left w:val="nil"/>
              <w:bottom w:val="nil"/>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39.496,66</w:t>
            </w:r>
          </w:p>
        </w:tc>
        <w:tc>
          <w:tcPr>
            <w:tcW w:w="3276" w:type="dxa"/>
            <w:tcBorders>
              <w:top w:val="nil"/>
              <w:left w:val="nil"/>
              <w:bottom w:val="nil"/>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35.651,89</w:t>
            </w:r>
          </w:p>
        </w:tc>
      </w:tr>
      <w:tr w:rsidR="005E7EDE" w:rsidTr="005E7EDE">
        <w:trPr>
          <w:trHeight w:val="360"/>
        </w:trPr>
        <w:tc>
          <w:tcPr>
            <w:tcW w:w="317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Επιταγές πληρωτέες</w:t>
            </w:r>
          </w:p>
        </w:tc>
        <w:tc>
          <w:tcPr>
            <w:tcW w:w="2896" w:type="dxa"/>
            <w:tcBorders>
              <w:top w:val="nil"/>
              <w:left w:val="nil"/>
              <w:bottom w:val="nil"/>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0,00</w:t>
            </w:r>
          </w:p>
        </w:tc>
        <w:tc>
          <w:tcPr>
            <w:tcW w:w="3276" w:type="dxa"/>
            <w:tcBorders>
              <w:top w:val="nil"/>
              <w:left w:val="nil"/>
              <w:bottom w:val="nil"/>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954,20</w:t>
            </w:r>
          </w:p>
        </w:tc>
      </w:tr>
      <w:tr w:rsidR="005E7EDE" w:rsidTr="005E7EDE">
        <w:trPr>
          <w:trHeight w:val="360"/>
        </w:trPr>
        <w:tc>
          <w:tcPr>
            <w:tcW w:w="317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Μερίσματα πληρωτέα</w:t>
            </w:r>
          </w:p>
        </w:tc>
        <w:tc>
          <w:tcPr>
            <w:tcW w:w="2896" w:type="dxa"/>
            <w:tcBorders>
              <w:top w:val="nil"/>
              <w:left w:val="nil"/>
              <w:bottom w:val="nil"/>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505.724,58</w:t>
            </w:r>
          </w:p>
        </w:tc>
        <w:tc>
          <w:tcPr>
            <w:tcW w:w="3276" w:type="dxa"/>
            <w:tcBorders>
              <w:top w:val="nil"/>
              <w:left w:val="nil"/>
              <w:bottom w:val="nil"/>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694.793,15</w:t>
            </w:r>
          </w:p>
        </w:tc>
      </w:tr>
      <w:tr w:rsidR="005E7EDE" w:rsidTr="005E7EDE">
        <w:trPr>
          <w:trHeight w:val="360"/>
        </w:trPr>
        <w:tc>
          <w:tcPr>
            <w:tcW w:w="317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Ασφαλιστικοί οργανισμοί</w:t>
            </w:r>
          </w:p>
        </w:tc>
        <w:tc>
          <w:tcPr>
            <w:tcW w:w="2896" w:type="dxa"/>
            <w:tcBorders>
              <w:top w:val="nil"/>
              <w:left w:val="nil"/>
              <w:bottom w:val="nil"/>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25.274,06</w:t>
            </w:r>
          </w:p>
        </w:tc>
        <w:tc>
          <w:tcPr>
            <w:tcW w:w="3276" w:type="dxa"/>
            <w:tcBorders>
              <w:top w:val="nil"/>
              <w:left w:val="nil"/>
              <w:bottom w:val="nil"/>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28.428,49</w:t>
            </w:r>
          </w:p>
        </w:tc>
      </w:tr>
      <w:tr w:rsidR="005E7EDE" w:rsidTr="005E7EDE">
        <w:trPr>
          <w:trHeight w:val="360"/>
        </w:trPr>
        <w:tc>
          <w:tcPr>
            <w:tcW w:w="317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Υποχρεώσεις για φόρους</w:t>
            </w:r>
          </w:p>
        </w:tc>
        <w:tc>
          <w:tcPr>
            <w:tcW w:w="2896" w:type="dxa"/>
            <w:tcBorders>
              <w:top w:val="nil"/>
              <w:left w:val="nil"/>
              <w:bottom w:val="nil"/>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3.822,03</w:t>
            </w:r>
          </w:p>
        </w:tc>
        <w:tc>
          <w:tcPr>
            <w:tcW w:w="3276" w:type="dxa"/>
            <w:tcBorders>
              <w:top w:val="nil"/>
              <w:left w:val="nil"/>
              <w:bottom w:val="nil"/>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2.775,42</w:t>
            </w:r>
          </w:p>
        </w:tc>
      </w:tr>
      <w:tr w:rsidR="005E7EDE" w:rsidTr="005E7EDE">
        <w:trPr>
          <w:trHeight w:val="375"/>
        </w:trPr>
        <w:tc>
          <w:tcPr>
            <w:tcW w:w="317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Πιστωτές διάφοροι</w:t>
            </w:r>
          </w:p>
        </w:tc>
        <w:tc>
          <w:tcPr>
            <w:tcW w:w="2896" w:type="dxa"/>
            <w:tcBorders>
              <w:top w:val="nil"/>
              <w:left w:val="nil"/>
              <w:bottom w:val="single" w:sz="4" w:space="0" w:color="auto"/>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1.064,71</w:t>
            </w:r>
          </w:p>
        </w:tc>
        <w:tc>
          <w:tcPr>
            <w:tcW w:w="3276" w:type="dxa"/>
            <w:tcBorders>
              <w:top w:val="nil"/>
              <w:left w:val="nil"/>
              <w:bottom w:val="single" w:sz="4" w:space="0" w:color="auto"/>
              <w:right w:val="nil"/>
            </w:tcBorders>
            <w:shd w:val="clear" w:color="auto" w:fill="auto"/>
            <w:noWrap/>
            <w:vAlign w:val="center"/>
            <w:hideMark/>
          </w:tcPr>
          <w:p w:rsidR="005E7EDE" w:rsidRDefault="005E7EDE">
            <w:pPr>
              <w:jc w:val="right"/>
              <w:rPr>
                <w:rFonts w:ascii="Tahoma" w:hAnsi="Tahoma" w:cs="Tahoma"/>
                <w:sz w:val="18"/>
                <w:szCs w:val="18"/>
              </w:rPr>
            </w:pPr>
            <w:r>
              <w:rPr>
                <w:rFonts w:ascii="Tahoma" w:hAnsi="Tahoma" w:cs="Tahoma"/>
                <w:sz w:val="18"/>
                <w:szCs w:val="18"/>
              </w:rPr>
              <w:t>1.212,01</w:t>
            </w:r>
          </w:p>
        </w:tc>
      </w:tr>
      <w:tr w:rsidR="005E7EDE" w:rsidTr="005E7EDE">
        <w:trPr>
          <w:trHeight w:val="360"/>
        </w:trPr>
        <w:tc>
          <w:tcPr>
            <w:tcW w:w="3176" w:type="dxa"/>
            <w:tcBorders>
              <w:top w:val="nil"/>
              <w:left w:val="nil"/>
              <w:bottom w:val="nil"/>
              <w:right w:val="nil"/>
            </w:tcBorders>
            <w:shd w:val="clear" w:color="auto" w:fill="auto"/>
            <w:hideMark/>
          </w:tcPr>
          <w:p w:rsidR="005E7EDE" w:rsidRDefault="005E7EDE">
            <w:pPr>
              <w:rPr>
                <w:rFonts w:ascii="Tahoma" w:hAnsi="Tahoma" w:cs="Tahoma"/>
                <w:b/>
                <w:bCs/>
                <w:sz w:val="18"/>
                <w:szCs w:val="18"/>
              </w:rPr>
            </w:pPr>
            <w:r>
              <w:rPr>
                <w:rFonts w:ascii="Tahoma" w:hAnsi="Tahoma" w:cs="Tahoma"/>
                <w:b/>
                <w:bCs/>
                <w:sz w:val="18"/>
                <w:szCs w:val="18"/>
              </w:rPr>
              <w:t>Σύνολα</w:t>
            </w:r>
          </w:p>
        </w:tc>
        <w:tc>
          <w:tcPr>
            <w:tcW w:w="2896" w:type="dxa"/>
            <w:tcBorders>
              <w:top w:val="nil"/>
              <w:left w:val="nil"/>
              <w:bottom w:val="double" w:sz="6" w:space="0" w:color="auto"/>
              <w:right w:val="nil"/>
            </w:tcBorders>
            <w:shd w:val="clear" w:color="auto" w:fill="auto"/>
            <w:vAlign w:val="center"/>
            <w:hideMark/>
          </w:tcPr>
          <w:p w:rsidR="005E7EDE" w:rsidRDefault="005E7EDE">
            <w:pPr>
              <w:jc w:val="right"/>
              <w:rPr>
                <w:rFonts w:ascii="Tahoma" w:hAnsi="Tahoma" w:cs="Tahoma"/>
                <w:b/>
                <w:bCs/>
                <w:sz w:val="18"/>
                <w:szCs w:val="18"/>
              </w:rPr>
            </w:pPr>
            <w:r>
              <w:rPr>
                <w:rFonts w:ascii="Tahoma" w:hAnsi="Tahoma" w:cs="Tahoma"/>
                <w:b/>
                <w:bCs/>
                <w:sz w:val="18"/>
                <w:szCs w:val="18"/>
              </w:rPr>
              <w:t>643.671,50</w:t>
            </w:r>
          </w:p>
        </w:tc>
        <w:tc>
          <w:tcPr>
            <w:tcW w:w="3276" w:type="dxa"/>
            <w:tcBorders>
              <w:top w:val="nil"/>
              <w:left w:val="nil"/>
              <w:bottom w:val="double" w:sz="6" w:space="0" w:color="auto"/>
              <w:right w:val="nil"/>
            </w:tcBorders>
            <w:shd w:val="clear" w:color="auto" w:fill="auto"/>
            <w:vAlign w:val="center"/>
            <w:hideMark/>
          </w:tcPr>
          <w:p w:rsidR="005E7EDE" w:rsidRDefault="005E7EDE">
            <w:pPr>
              <w:jc w:val="right"/>
              <w:rPr>
                <w:rFonts w:ascii="Tahoma" w:hAnsi="Tahoma" w:cs="Tahoma"/>
                <w:b/>
                <w:bCs/>
                <w:sz w:val="18"/>
                <w:szCs w:val="18"/>
              </w:rPr>
            </w:pPr>
            <w:r>
              <w:rPr>
                <w:rFonts w:ascii="Tahoma" w:hAnsi="Tahoma" w:cs="Tahoma"/>
                <w:b/>
                <w:bCs/>
                <w:sz w:val="18"/>
                <w:szCs w:val="18"/>
              </w:rPr>
              <w:t>832.956,98</w:t>
            </w:r>
          </w:p>
        </w:tc>
      </w:tr>
    </w:tbl>
    <w:p w:rsidR="005E7EDE" w:rsidRDefault="005E7EDE" w:rsidP="004A01F3">
      <w:pPr>
        <w:ind w:left="-426"/>
        <w:jc w:val="both"/>
        <w:rPr>
          <w:rFonts w:ascii="Tahoma" w:hAnsi="Tahoma" w:cs="Tahoma"/>
          <w:sz w:val="22"/>
          <w:szCs w:val="22"/>
          <w:lang w:val="en-US"/>
        </w:rPr>
      </w:pPr>
    </w:p>
    <w:p w:rsidR="005E7EDE" w:rsidRDefault="005E7EDE" w:rsidP="004A01F3">
      <w:pPr>
        <w:ind w:left="-426"/>
        <w:jc w:val="both"/>
        <w:rPr>
          <w:rFonts w:ascii="Tahoma" w:hAnsi="Tahoma" w:cs="Tahoma"/>
          <w:sz w:val="22"/>
          <w:szCs w:val="22"/>
          <w:lang w:val="en-US"/>
        </w:rPr>
      </w:pPr>
    </w:p>
    <w:p w:rsidR="005E7EDE" w:rsidRDefault="005E7EDE" w:rsidP="004A01F3">
      <w:pPr>
        <w:ind w:left="-426"/>
        <w:jc w:val="both"/>
        <w:rPr>
          <w:rFonts w:ascii="Tahoma" w:hAnsi="Tahoma" w:cs="Tahoma"/>
          <w:sz w:val="22"/>
          <w:szCs w:val="22"/>
          <w:lang w:val="en-US"/>
        </w:rPr>
      </w:pPr>
    </w:p>
    <w:p w:rsidR="005E7EDE" w:rsidRPr="00485A4C" w:rsidRDefault="005E7EDE" w:rsidP="004A01F3">
      <w:pPr>
        <w:ind w:left="-426"/>
        <w:jc w:val="both"/>
        <w:rPr>
          <w:rFonts w:ascii="Tahoma" w:hAnsi="Tahoma" w:cs="Tahoma"/>
          <w:sz w:val="22"/>
          <w:szCs w:val="22"/>
        </w:rPr>
      </w:pPr>
    </w:p>
    <w:p w:rsidR="00BE65F3" w:rsidRPr="00485A4C" w:rsidRDefault="00BE65F3" w:rsidP="00480197">
      <w:pPr>
        <w:rPr>
          <w:rFonts w:ascii="Tahoma" w:hAnsi="Tahoma" w:cs="Tahoma"/>
          <w:sz w:val="22"/>
          <w:szCs w:val="22"/>
        </w:rPr>
      </w:pPr>
    </w:p>
    <w:p w:rsidR="00480197" w:rsidRPr="00485A4C" w:rsidRDefault="005D64C9" w:rsidP="00480197">
      <w:pPr>
        <w:pStyle w:val="Heading2"/>
        <w:ind w:left="-540"/>
        <w:rPr>
          <w:rFonts w:ascii="Tahoma" w:hAnsi="Tahoma" w:cs="Tahoma"/>
          <w:i w:val="0"/>
          <w:sz w:val="22"/>
          <w:szCs w:val="22"/>
        </w:rPr>
      </w:pPr>
      <w:bookmarkStart w:id="51" w:name="_Toc178753447"/>
      <w:bookmarkStart w:id="52" w:name="_Toc526260616"/>
      <w:r w:rsidRPr="00485A4C">
        <w:rPr>
          <w:rFonts w:ascii="Tahoma" w:hAnsi="Tahoma" w:cs="Tahoma"/>
          <w:i w:val="0"/>
          <w:sz w:val="22"/>
          <w:szCs w:val="22"/>
        </w:rPr>
        <w:t>7</w:t>
      </w:r>
      <w:r w:rsidR="00480197" w:rsidRPr="00485A4C">
        <w:rPr>
          <w:rFonts w:ascii="Tahoma" w:hAnsi="Tahoma" w:cs="Tahoma"/>
          <w:i w:val="0"/>
          <w:sz w:val="22"/>
          <w:szCs w:val="22"/>
        </w:rPr>
        <w:t>.1</w:t>
      </w:r>
      <w:r w:rsidR="004A01F3" w:rsidRPr="00485A4C">
        <w:rPr>
          <w:rFonts w:ascii="Tahoma" w:hAnsi="Tahoma" w:cs="Tahoma"/>
          <w:i w:val="0"/>
          <w:sz w:val="22"/>
          <w:szCs w:val="22"/>
          <w:lang w:val="el-GR"/>
        </w:rPr>
        <w:t>5</w:t>
      </w:r>
      <w:r w:rsidR="00480197" w:rsidRPr="00485A4C">
        <w:rPr>
          <w:rFonts w:ascii="Tahoma" w:hAnsi="Tahoma" w:cs="Tahoma"/>
          <w:i w:val="0"/>
          <w:sz w:val="22"/>
          <w:szCs w:val="22"/>
        </w:rPr>
        <w:t>. Πωλήσεις</w:t>
      </w:r>
      <w:bookmarkEnd w:id="51"/>
      <w:bookmarkEnd w:id="52"/>
    </w:p>
    <w:p w:rsidR="00480197" w:rsidRPr="00485A4C" w:rsidRDefault="00480197" w:rsidP="00480197">
      <w:pPr>
        <w:rPr>
          <w:rFonts w:ascii="Tahoma" w:hAnsi="Tahoma" w:cs="Tahoma"/>
          <w:sz w:val="22"/>
          <w:szCs w:val="22"/>
        </w:rPr>
      </w:pPr>
    </w:p>
    <w:p w:rsidR="0009353B" w:rsidRPr="00485A4C" w:rsidRDefault="00893978" w:rsidP="00893978">
      <w:pPr>
        <w:ind w:left="-539"/>
        <w:rPr>
          <w:rFonts w:ascii="Tahoma" w:hAnsi="Tahoma" w:cs="Tahoma"/>
          <w:sz w:val="22"/>
          <w:szCs w:val="22"/>
        </w:rPr>
      </w:pPr>
      <w:r w:rsidRPr="00485A4C">
        <w:rPr>
          <w:rFonts w:ascii="Tahoma" w:hAnsi="Tahoma" w:cs="Tahoma"/>
          <w:sz w:val="22"/>
          <w:szCs w:val="22"/>
        </w:rPr>
        <w:t xml:space="preserve">Οι πωλήσεις αναλύονται ως εξής: </w:t>
      </w:r>
    </w:p>
    <w:p w:rsidR="004A01F3" w:rsidRPr="00485A4C" w:rsidRDefault="004A01F3" w:rsidP="00893978">
      <w:pPr>
        <w:ind w:left="-539"/>
        <w:rPr>
          <w:rFonts w:ascii="Tahoma" w:hAnsi="Tahoma" w:cs="Tahoma"/>
          <w:sz w:val="22"/>
          <w:szCs w:val="22"/>
        </w:rPr>
      </w:pPr>
    </w:p>
    <w:tbl>
      <w:tblPr>
        <w:tblW w:w="9260" w:type="dxa"/>
        <w:tblInd w:w="-993" w:type="dxa"/>
        <w:tblLook w:val="04A0" w:firstRow="1" w:lastRow="0" w:firstColumn="1" w:lastColumn="0" w:noHBand="0" w:noVBand="1"/>
      </w:tblPr>
      <w:tblGrid>
        <w:gridCol w:w="5696"/>
        <w:gridCol w:w="1792"/>
        <w:gridCol w:w="1772"/>
      </w:tblGrid>
      <w:tr w:rsidR="005E7EDE" w:rsidTr="005E7EDE">
        <w:trPr>
          <w:trHeight w:val="468"/>
        </w:trPr>
        <w:tc>
          <w:tcPr>
            <w:tcW w:w="5696" w:type="dxa"/>
            <w:tcBorders>
              <w:top w:val="nil"/>
              <w:left w:val="nil"/>
              <w:bottom w:val="nil"/>
              <w:right w:val="nil"/>
            </w:tcBorders>
            <w:shd w:val="clear" w:color="000000" w:fill="E6E6E6"/>
            <w:noWrap/>
            <w:vAlign w:val="bottom"/>
            <w:hideMark/>
          </w:tcPr>
          <w:p w:rsidR="005E7EDE" w:rsidRDefault="005E7EDE">
            <w:pPr>
              <w:rPr>
                <w:rFonts w:ascii="Tahoma" w:hAnsi="Tahoma" w:cs="Tahoma"/>
                <w:b/>
                <w:bCs/>
                <w:sz w:val="18"/>
                <w:szCs w:val="18"/>
              </w:rPr>
            </w:pPr>
            <w:r>
              <w:rPr>
                <w:rFonts w:ascii="Tahoma" w:hAnsi="Tahoma" w:cs="Tahoma"/>
                <w:b/>
                <w:bCs/>
                <w:sz w:val="18"/>
                <w:szCs w:val="18"/>
              </w:rPr>
              <w:t> </w:t>
            </w:r>
          </w:p>
        </w:tc>
        <w:tc>
          <w:tcPr>
            <w:tcW w:w="1792" w:type="dxa"/>
            <w:tcBorders>
              <w:top w:val="nil"/>
              <w:left w:val="nil"/>
              <w:bottom w:val="nil"/>
              <w:right w:val="nil"/>
            </w:tcBorders>
            <w:shd w:val="clear" w:color="000000" w:fill="E6E6E6"/>
            <w:vAlign w:val="bottom"/>
            <w:hideMark/>
          </w:tcPr>
          <w:p w:rsidR="005E7EDE" w:rsidRDefault="005E7EDE">
            <w:pPr>
              <w:jc w:val="center"/>
              <w:rPr>
                <w:rFonts w:ascii="Tahoma" w:hAnsi="Tahoma" w:cs="Tahoma"/>
                <w:b/>
                <w:bCs/>
                <w:sz w:val="18"/>
                <w:szCs w:val="18"/>
              </w:rPr>
            </w:pPr>
            <w:r>
              <w:rPr>
                <w:rFonts w:ascii="Tahoma" w:hAnsi="Tahoma" w:cs="Tahoma"/>
                <w:b/>
                <w:bCs/>
                <w:sz w:val="18"/>
                <w:szCs w:val="18"/>
              </w:rPr>
              <w:t>01.01.18 - 31.12.18</w:t>
            </w:r>
          </w:p>
        </w:tc>
        <w:tc>
          <w:tcPr>
            <w:tcW w:w="1772" w:type="dxa"/>
            <w:tcBorders>
              <w:top w:val="nil"/>
              <w:left w:val="nil"/>
              <w:bottom w:val="nil"/>
              <w:right w:val="nil"/>
            </w:tcBorders>
            <w:shd w:val="clear" w:color="000000" w:fill="E6E6E6"/>
            <w:vAlign w:val="bottom"/>
            <w:hideMark/>
          </w:tcPr>
          <w:p w:rsidR="005E7EDE" w:rsidRDefault="005E7EDE">
            <w:pPr>
              <w:jc w:val="center"/>
              <w:rPr>
                <w:rFonts w:ascii="Tahoma" w:hAnsi="Tahoma" w:cs="Tahoma"/>
                <w:b/>
                <w:bCs/>
                <w:sz w:val="18"/>
                <w:szCs w:val="18"/>
              </w:rPr>
            </w:pPr>
            <w:r>
              <w:rPr>
                <w:rFonts w:ascii="Tahoma" w:hAnsi="Tahoma" w:cs="Tahoma"/>
                <w:b/>
                <w:bCs/>
                <w:sz w:val="18"/>
                <w:szCs w:val="18"/>
              </w:rPr>
              <w:t>01.01.17 - 31.12.17</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Πωλήσεις εμπορευμάτων στο εσωτερικό χονδρική</w:t>
            </w:r>
          </w:p>
        </w:tc>
        <w:tc>
          <w:tcPr>
            <w:tcW w:w="179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21.713,86</w:t>
            </w:r>
          </w:p>
        </w:tc>
        <w:tc>
          <w:tcPr>
            <w:tcW w:w="177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15.489,40</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Πωλήσεις προϊόντων στο εσωτερικό χονδρική</w:t>
            </w:r>
          </w:p>
        </w:tc>
        <w:tc>
          <w:tcPr>
            <w:tcW w:w="179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3.084.568,31</w:t>
            </w:r>
          </w:p>
        </w:tc>
        <w:tc>
          <w:tcPr>
            <w:tcW w:w="177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3.249.761,91</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Πωλήσεις ηλεκτρικού ρεύματος</w:t>
            </w:r>
          </w:p>
        </w:tc>
        <w:tc>
          <w:tcPr>
            <w:tcW w:w="179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0,00</w:t>
            </w:r>
          </w:p>
        </w:tc>
        <w:tc>
          <w:tcPr>
            <w:tcW w:w="177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88.485,65</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Πωλήσεις ειδών συσκευασίας στο εσωτερικό χονδρική</w:t>
            </w:r>
          </w:p>
        </w:tc>
        <w:tc>
          <w:tcPr>
            <w:tcW w:w="179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1.275,00</w:t>
            </w:r>
          </w:p>
        </w:tc>
        <w:tc>
          <w:tcPr>
            <w:tcW w:w="177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29.645,63</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Έσοδα παροχής υπηρεσιών στο εσωτερικό χονδρική</w:t>
            </w:r>
          </w:p>
        </w:tc>
        <w:tc>
          <w:tcPr>
            <w:tcW w:w="179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58.471,28</w:t>
            </w:r>
          </w:p>
        </w:tc>
        <w:tc>
          <w:tcPr>
            <w:tcW w:w="177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51.706,51</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 </w:t>
            </w:r>
            <w:r>
              <w:rPr>
                <w:rFonts w:ascii="Tahoma" w:hAnsi="Tahoma" w:cs="Tahoma"/>
                <w:b/>
                <w:bCs/>
                <w:sz w:val="18"/>
                <w:szCs w:val="18"/>
              </w:rPr>
              <w:t>Σύνολο</w:t>
            </w:r>
          </w:p>
        </w:tc>
        <w:tc>
          <w:tcPr>
            <w:tcW w:w="1792" w:type="dxa"/>
            <w:tcBorders>
              <w:top w:val="single" w:sz="4" w:space="0" w:color="auto"/>
              <w:left w:val="nil"/>
              <w:bottom w:val="double" w:sz="6" w:space="0" w:color="auto"/>
              <w:right w:val="nil"/>
            </w:tcBorders>
            <w:shd w:val="clear" w:color="auto" w:fill="auto"/>
            <w:noWrap/>
            <w:vAlign w:val="bottom"/>
            <w:hideMark/>
          </w:tcPr>
          <w:p w:rsidR="005E7EDE" w:rsidRDefault="005E7EDE">
            <w:pPr>
              <w:jc w:val="right"/>
              <w:rPr>
                <w:rFonts w:ascii="Tahoma" w:hAnsi="Tahoma" w:cs="Tahoma"/>
                <w:b/>
                <w:bCs/>
                <w:sz w:val="18"/>
                <w:szCs w:val="18"/>
              </w:rPr>
            </w:pPr>
            <w:r>
              <w:rPr>
                <w:rFonts w:ascii="Tahoma" w:hAnsi="Tahoma" w:cs="Tahoma"/>
                <w:b/>
                <w:bCs/>
                <w:sz w:val="18"/>
                <w:szCs w:val="18"/>
              </w:rPr>
              <w:t>3.166.028,45</w:t>
            </w:r>
          </w:p>
        </w:tc>
        <w:tc>
          <w:tcPr>
            <w:tcW w:w="1772" w:type="dxa"/>
            <w:tcBorders>
              <w:top w:val="single" w:sz="4" w:space="0" w:color="auto"/>
              <w:left w:val="nil"/>
              <w:bottom w:val="double" w:sz="6" w:space="0" w:color="auto"/>
              <w:right w:val="nil"/>
            </w:tcBorders>
            <w:shd w:val="clear" w:color="auto" w:fill="auto"/>
            <w:noWrap/>
            <w:vAlign w:val="bottom"/>
            <w:hideMark/>
          </w:tcPr>
          <w:p w:rsidR="005E7EDE" w:rsidRDefault="005E7EDE">
            <w:pPr>
              <w:jc w:val="right"/>
              <w:rPr>
                <w:rFonts w:ascii="Tahoma" w:hAnsi="Tahoma" w:cs="Tahoma"/>
                <w:b/>
                <w:bCs/>
                <w:sz w:val="18"/>
                <w:szCs w:val="18"/>
              </w:rPr>
            </w:pPr>
            <w:r>
              <w:rPr>
                <w:rFonts w:ascii="Tahoma" w:hAnsi="Tahoma" w:cs="Tahoma"/>
                <w:b/>
                <w:bCs/>
                <w:sz w:val="18"/>
                <w:szCs w:val="18"/>
              </w:rPr>
              <w:t>3.435.089,10</w:t>
            </w:r>
          </w:p>
        </w:tc>
      </w:tr>
    </w:tbl>
    <w:p w:rsidR="00933B0C" w:rsidRPr="00485A4C" w:rsidRDefault="00933B0C" w:rsidP="004A01F3">
      <w:pPr>
        <w:ind w:left="-426"/>
        <w:rPr>
          <w:rFonts w:ascii="Tahoma" w:hAnsi="Tahoma" w:cs="Tahoma"/>
          <w:sz w:val="22"/>
          <w:szCs w:val="22"/>
          <w:lang w:val="en-US"/>
        </w:rPr>
      </w:pPr>
    </w:p>
    <w:p w:rsidR="00480197" w:rsidRPr="00485A4C" w:rsidRDefault="005D64C9" w:rsidP="00480197">
      <w:pPr>
        <w:pStyle w:val="Heading2"/>
        <w:ind w:left="-540"/>
        <w:rPr>
          <w:rFonts w:ascii="Tahoma" w:hAnsi="Tahoma" w:cs="Tahoma"/>
          <w:i w:val="0"/>
          <w:sz w:val="22"/>
          <w:szCs w:val="22"/>
        </w:rPr>
      </w:pPr>
      <w:bookmarkStart w:id="53" w:name="_Toc178753448"/>
      <w:bookmarkStart w:id="54" w:name="_Toc526260617"/>
      <w:r w:rsidRPr="00485A4C">
        <w:rPr>
          <w:rFonts w:ascii="Tahoma" w:hAnsi="Tahoma" w:cs="Tahoma"/>
          <w:i w:val="0"/>
          <w:sz w:val="22"/>
          <w:szCs w:val="22"/>
          <w:lang w:val="el-GR"/>
        </w:rPr>
        <w:t>7</w:t>
      </w:r>
      <w:r w:rsidR="00480197" w:rsidRPr="00485A4C">
        <w:rPr>
          <w:rFonts w:ascii="Tahoma" w:hAnsi="Tahoma" w:cs="Tahoma"/>
          <w:i w:val="0"/>
          <w:sz w:val="22"/>
          <w:szCs w:val="22"/>
        </w:rPr>
        <w:t>.1</w:t>
      </w:r>
      <w:r w:rsidR="003D02DB" w:rsidRPr="00485A4C">
        <w:rPr>
          <w:rFonts w:ascii="Tahoma" w:hAnsi="Tahoma" w:cs="Tahoma"/>
          <w:i w:val="0"/>
          <w:sz w:val="22"/>
          <w:szCs w:val="22"/>
          <w:lang w:val="el-GR"/>
        </w:rPr>
        <w:t>6</w:t>
      </w:r>
      <w:r w:rsidR="00480197" w:rsidRPr="00485A4C">
        <w:rPr>
          <w:rFonts w:ascii="Tahoma" w:hAnsi="Tahoma" w:cs="Tahoma"/>
          <w:i w:val="0"/>
          <w:sz w:val="22"/>
          <w:szCs w:val="22"/>
        </w:rPr>
        <w:t>. Άλλα έσοδα</w:t>
      </w:r>
      <w:bookmarkEnd w:id="53"/>
      <w:bookmarkEnd w:id="54"/>
    </w:p>
    <w:p w:rsidR="00480197" w:rsidRPr="00485A4C" w:rsidRDefault="00480197" w:rsidP="00480197">
      <w:pPr>
        <w:rPr>
          <w:rFonts w:ascii="Tahoma" w:hAnsi="Tahoma" w:cs="Tahoma"/>
          <w:sz w:val="22"/>
          <w:szCs w:val="22"/>
        </w:rPr>
      </w:pPr>
    </w:p>
    <w:p w:rsidR="00480197" w:rsidRPr="00485A4C" w:rsidRDefault="00480197" w:rsidP="00480197">
      <w:pPr>
        <w:ind w:left="-539"/>
        <w:rPr>
          <w:rFonts w:ascii="Tahoma" w:hAnsi="Tahoma" w:cs="Tahoma"/>
          <w:sz w:val="22"/>
          <w:szCs w:val="22"/>
        </w:rPr>
      </w:pPr>
      <w:r w:rsidRPr="00485A4C">
        <w:rPr>
          <w:rFonts w:ascii="Tahoma" w:hAnsi="Tahoma" w:cs="Tahoma"/>
          <w:sz w:val="22"/>
          <w:szCs w:val="22"/>
        </w:rPr>
        <w:t>Τα άλλα έσοδα αναλύονται ως εξής:</w:t>
      </w:r>
    </w:p>
    <w:p w:rsidR="00933B0C" w:rsidRDefault="00933B0C" w:rsidP="003D02DB">
      <w:pPr>
        <w:ind w:left="-426"/>
        <w:rPr>
          <w:rFonts w:ascii="Tahoma" w:hAnsi="Tahoma" w:cs="Tahoma"/>
          <w:sz w:val="22"/>
          <w:szCs w:val="22"/>
          <w:lang w:val="en-US"/>
        </w:rPr>
      </w:pPr>
    </w:p>
    <w:p w:rsidR="005E7EDE" w:rsidRDefault="005E7EDE" w:rsidP="003D02DB">
      <w:pPr>
        <w:ind w:left="-426"/>
        <w:rPr>
          <w:rFonts w:ascii="Tahoma" w:hAnsi="Tahoma" w:cs="Tahoma"/>
          <w:sz w:val="22"/>
          <w:szCs w:val="22"/>
          <w:lang w:val="en-US"/>
        </w:rPr>
      </w:pPr>
    </w:p>
    <w:tbl>
      <w:tblPr>
        <w:tblW w:w="9260" w:type="dxa"/>
        <w:tblInd w:w="-1083" w:type="dxa"/>
        <w:tblLook w:val="04A0" w:firstRow="1" w:lastRow="0" w:firstColumn="1" w:lastColumn="0" w:noHBand="0" w:noVBand="1"/>
      </w:tblPr>
      <w:tblGrid>
        <w:gridCol w:w="5696"/>
        <w:gridCol w:w="1792"/>
        <w:gridCol w:w="1772"/>
      </w:tblGrid>
      <w:tr w:rsidR="005E7EDE" w:rsidTr="005E7EDE">
        <w:trPr>
          <w:trHeight w:val="468"/>
        </w:trPr>
        <w:tc>
          <w:tcPr>
            <w:tcW w:w="5696" w:type="dxa"/>
            <w:tcBorders>
              <w:top w:val="nil"/>
              <w:left w:val="nil"/>
              <w:bottom w:val="nil"/>
              <w:right w:val="nil"/>
            </w:tcBorders>
            <w:shd w:val="clear" w:color="000000" w:fill="E6E6E6"/>
            <w:noWrap/>
            <w:vAlign w:val="bottom"/>
            <w:hideMark/>
          </w:tcPr>
          <w:p w:rsidR="005E7EDE" w:rsidRDefault="005E7EDE">
            <w:pPr>
              <w:rPr>
                <w:rFonts w:ascii="Tahoma" w:hAnsi="Tahoma" w:cs="Tahoma"/>
                <w:b/>
                <w:bCs/>
                <w:sz w:val="18"/>
                <w:szCs w:val="18"/>
              </w:rPr>
            </w:pPr>
            <w:r>
              <w:rPr>
                <w:rFonts w:ascii="Tahoma" w:hAnsi="Tahoma" w:cs="Tahoma"/>
                <w:b/>
                <w:bCs/>
                <w:sz w:val="18"/>
                <w:szCs w:val="18"/>
              </w:rPr>
              <w:t> </w:t>
            </w:r>
          </w:p>
        </w:tc>
        <w:tc>
          <w:tcPr>
            <w:tcW w:w="1792" w:type="dxa"/>
            <w:tcBorders>
              <w:top w:val="nil"/>
              <w:left w:val="nil"/>
              <w:bottom w:val="nil"/>
              <w:right w:val="nil"/>
            </w:tcBorders>
            <w:shd w:val="clear" w:color="000000" w:fill="E6E6E6"/>
            <w:vAlign w:val="bottom"/>
            <w:hideMark/>
          </w:tcPr>
          <w:p w:rsidR="005E7EDE" w:rsidRDefault="005E7EDE">
            <w:pPr>
              <w:jc w:val="center"/>
              <w:rPr>
                <w:rFonts w:ascii="Tahoma" w:hAnsi="Tahoma" w:cs="Tahoma"/>
                <w:b/>
                <w:bCs/>
                <w:sz w:val="18"/>
                <w:szCs w:val="18"/>
              </w:rPr>
            </w:pPr>
            <w:r>
              <w:rPr>
                <w:rFonts w:ascii="Tahoma" w:hAnsi="Tahoma" w:cs="Tahoma"/>
                <w:b/>
                <w:bCs/>
                <w:sz w:val="18"/>
                <w:szCs w:val="18"/>
              </w:rPr>
              <w:t>01.01.18 - 31.12.18</w:t>
            </w:r>
          </w:p>
        </w:tc>
        <w:tc>
          <w:tcPr>
            <w:tcW w:w="1772" w:type="dxa"/>
            <w:tcBorders>
              <w:top w:val="nil"/>
              <w:left w:val="nil"/>
              <w:bottom w:val="nil"/>
              <w:right w:val="nil"/>
            </w:tcBorders>
            <w:shd w:val="clear" w:color="000000" w:fill="E6E6E6"/>
            <w:vAlign w:val="bottom"/>
            <w:hideMark/>
          </w:tcPr>
          <w:p w:rsidR="005E7EDE" w:rsidRDefault="005E7EDE">
            <w:pPr>
              <w:jc w:val="center"/>
              <w:rPr>
                <w:rFonts w:ascii="Tahoma" w:hAnsi="Tahoma" w:cs="Tahoma"/>
                <w:b/>
                <w:bCs/>
                <w:sz w:val="18"/>
                <w:szCs w:val="18"/>
              </w:rPr>
            </w:pPr>
            <w:r>
              <w:rPr>
                <w:rFonts w:ascii="Tahoma" w:hAnsi="Tahoma" w:cs="Tahoma"/>
                <w:b/>
                <w:bCs/>
                <w:sz w:val="18"/>
                <w:szCs w:val="18"/>
              </w:rPr>
              <w:t>01.01.17 - 31.12.17</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Αναλογούσες στη χρήση κρατικές επιχορηγήσεις</w:t>
            </w:r>
          </w:p>
        </w:tc>
        <w:tc>
          <w:tcPr>
            <w:tcW w:w="179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47.175,48</w:t>
            </w:r>
          </w:p>
        </w:tc>
        <w:tc>
          <w:tcPr>
            <w:tcW w:w="177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70.430,82</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Λοιπά έκτακτα και ανόργανα έσοδα</w:t>
            </w:r>
          </w:p>
        </w:tc>
        <w:tc>
          <w:tcPr>
            <w:tcW w:w="179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15.276,34</w:t>
            </w:r>
          </w:p>
        </w:tc>
        <w:tc>
          <w:tcPr>
            <w:tcW w:w="177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7.789,94</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Kέρδη εκποιήσεων</w:t>
            </w:r>
          </w:p>
        </w:tc>
        <w:tc>
          <w:tcPr>
            <w:tcW w:w="179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0,00</w:t>
            </w:r>
          </w:p>
        </w:tc>
        <w:tc>
          <w:tcPr>
            <w:tcW w:w="177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0,00</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 </w:t>
            </w:r>
            <w:r>
              <w:rPr>
                <w:rFonts w:ascii="Tahoma" w:hAnsi="Tahoma" w:cs="Tahoma"/>
                <w:b/>
                <w:bCs/>
                <w:sz w:val="18"/>
                <w:szCs w:val="18"/>
              </w:rPr>
              <w:t>Σύνολο</w:t>
            </w:r>
          </w:p>
        </w:tc>
        <w:tc>
          <w:tcPr>
            <w:tcW w:w="1792" w:type="dxa"/>
            <w:tcBorders>
              <w:top w:val="single" w:sz="4" w:space="0" w:color="auto"/>
              <w:left w:val="nil"/>
              <w:bottom w:val="double" w:sz="6" w:space="0" w:color="auto"/>
              <w:right w:val="nil"/>
            </w:tcBorders>
            <w:shd w:val="clear" w:color="auto" w:fill="auto"/>
            <w:noWrap/>
            <w:vAlign w:val="bottom"/>
            <w:hideMark/>
          </w:tcPr>
          <w:p w:rsidR="005E7EDE" w:rsidRDefault="005E7EDE">
            <w:pPr>
              <w:jc w:val="right"/>
              <w:rPr>
                <w:rFonts w:ascii="Tahoma" w:hAnsi="Tahoma" w:cs="Tahoma"/>
                <w:b/>
                <w:bCs/>
                <w:sz w:val="18"/>
                <w:szCs w:val="18"/>
              </w:rPr>
            </w:pPr>
            <w:r>
              <w:rPr>
                <w:rFonts w:ascii="Tahoma" w:hAnsi="Tahoma" w:cs="Tahoma"/>
                <w:b/>
                <w:bCs/>
                <w:sz w:val="18"/>
                <w:szCs w:val="18"/>
              </w:rPr>
              <w:t>62.451,82</w:t>
            </w:r>
          </w:p>
        </w:tc>
        <w:tc>
          <w:tcPr>
            <w:tcW w:w="1772" w:type="dxa"/>
            <w:tcBorders>
              <w:top w:val="single" w:sz="4" w:space="0" w:color="auto"/>
              <w:left w:val="nil"/>
              <w:bottom w:val="double" w:sz="6" w:space="0" w:color="auto"/>
              <w:right w:val="nil"/>
            </w:tcBorders>
            <w:shd w:val="clear" w:color="auto" w:fill="auto"/>
            <w:noWrap/>
            <w:vAlign w:val="bottom"/>
            <w:hideMark/>
          </w:tcPr>
          <w:p w:rsidR="005E7EDE" w:rsidRDefault="005E7EDE">
            <w:pPr>
              <w:jc w:val="right"/>
              <w:rPr>
                <w:rFonts w:ascii="Tahoma" w:hAnsi="Tahoma" w:cs="Tahoma"/>
                <w:b/>
                <w:bCs/>
                <w:sz w:val="18"/>
                <w:szCs w:val="18"/>
              </w:rPr>
            </w:pPr>
            <w:r>
              <w:rPr>
                <w:rFonts w:ascii="Tahoma" w:hAnsi="Tahoma" w:cs="Tahoma"/>
                <w:b/>
                <w:bCs/>
                <w:sz w:val="18"/>
                <w:szCs w:val="18"/>
              </w:rPr>
              <w:t>78.220,76</w:t>
            </w:r>
          </w:p>
        </w:tc>
      </w:tr>
    </w:tbl>
    <w:p w:rsidR="005E7EDE" w:rsidRPr="00485A4C" w:rsidRDefault="005E7EDE" w:rsidP="003D02DB">
      <w:pPr>
        <w:ind w:left="-426"/>
        <w:rPr>
          <w:rFonts w:ascii="Tahoma" w:hAnsi="Tahoma" w:cs="Tahoma"/>
          <w:sz w:val="22"/>
          <w:szCs w:val="22"/>
        </w:rPr>
      </w:pPr>
    </w:p>
    <w:p w:rsidR="004E1486" w:rsidRPr="00485A4C" w:rsidRDefault="004E1486" w:rsidP="003D02DB">
      <w:pPr>
        <w:ind w:left="-426"/>
        <w:rPr>
          <w:rFonts w:ascii="Tahoma" w:hAnsi="Tahoma" w:cs="Tahoma"/>
          <w:sz w:val="22"/>
          <w:szCs w:val="22"/>
        </w:rPr>
      </w:pPr>
    </w:p>
    <w:p w:rsidR="004E1486" w:rsidRPr="00485A4C" w:rsidRDefault="004E1486" w:rsidP="003D02DB">
      <w:pPr>
        <w:ind w:left="-426"/>
        <w:rPr>
          <w:rFonts w:ascii="Tahoma" w:hAnsi="Tahoma" w:cs="Tahoma"/>
          <w:sz w:val="22"/>
          <w:szCs w:val="22"/>
        </w:rPr>
      </w:pPr>
    </w:p>
    <w:p w:rsidR="004E1486" w:rsidRPr="00485A4C" w:rsidRDefault="004E1486" w:rsidP="005E7EDE">
      <w:pPr>
        <w:rPr>
          <w:rFonts w:ascii="Tahoma" w:hAnsi="Tahoma" w:cs="Tahoma"/>
          <w:sz w:val="22"/>
          <w:szCs w:val="22"/>
        </w:rPr>
      </w:pPr>
    </w:p>
    <w:p w:rsidR="004E1486" w:rsidRPr="00485A4C" w:rsidRDefault="004E1486" w:rsidP="003D02DB">
      <w:pPr>
        <w:ind w:left="-426"/>
        <w:rPr>
          <w:rFonts w:ascii="Tahoma" w:hAnsi="Tahoma" w:cs="Tahoma"/>
          <w:bCs/>
          <w:color w:val="000000"/>
          <w:sz w:val="22"/>
          <w:szCs w:val="22"/>
          <w:highlight w:val="red"/>
        </w:rPr>
      </w:pPr>
    </w:p>
    <w:p w:rsidR="00480197" w:rsidRPr="00485A4C" w:rsidRDefault="005D64C9" w:rsidP="00480197">
      <w:pPr>
        <w:pStyle w:val="Heading2"/>
        <w:spacing w:before="0" w:after="0" w:line="360" w:lineRule="auto"/>
        <w:ind w:left="-540"/>
        <w:rPr>
          <w:rFonts w:ascii="Tahoma" w:hAnsi="Tahoma" w:cs="Tahoma"/>
          <w:i w:val="0"/>
          <w:sz w:val="22"/>
          <w:szCs w:val="22"/>
        </w:rPr>
      </w:pPr>
      <w:bookmarkStart w:id="55" w:name="_Toc178753449"/>
      <w:bookmarkStart w:id="56" w:name="_Toc526260618"/>
      <w:r w:rsidRPr="00485A4C">
        <w:rPr>
          <w:rFonts w:ascii="Tahoma" w:hAnsi="Tahoma" w:cs="Tahoma"/>
          <w:i w:val="0"/>
          <w:sz w:val="22"/>
          <w:szCs w:val="22"/>
          <w:lang w:val="el-GR"/>
        </w:rPr>
        <w:t>7</w:t>
      </w:r>
      <w:r w:rsidR="00480197" w:rsidRPr="00485A4C">
        <w:rPr>
          <w:rFonts w:ascii="Tahoma" w:hAnsi="Tahoma" w:cs="Tahoma"/>
          <w:i w:val="0"/>
          <w:sz w:val="22"/>
          <w:szCs w:val="22"/>
        </w:rPr>
        <w:t>.</w:t>
      </w:r>
      <w:r w:rsidR="003D02DB" w:rsidRPr="00485A4C">
        <w:rPr>
          <w:rFonts w:ascii="Tahoma" w:hAnsi="Tahoma" w:cs="Tahoma"/>
          <w:i w:val="0"/>
          <w:sz w:val="22"/>
          <w:szCs w:val="22"/>
          <w:lang w:val="el-GR"/>
        </w:rPr>
        <w:t>17</w:t>
      </w:r>
      <w:r w:rsidR="00480197" w:rsidRPr="00485A4C">
        <w:rPr>
          <w:rFonts w:ascii="Tahoma" w:hAnsi="Tahoma" w:cs="Tahoma"/>
          <w:i w:val="0"/>
          <w:sz w:val="22"/>
          <w:szCs w:val="22"/>
        </w:rPr>
        <w:t>. Κόστος πωληθέντων- κόστος λειτουργίας</w:t>
      </w:r>
      <w:bookmarkEnd w:id="55"/>
      <w:bookmarkEnd w:id="56"/>
    </w:p>
    <w:p w:rsidR="00203F12" w:rsidRPr="00485A4C" w:rsidRDefault="00203F12" w:rsidP="001644FC">
      <w:pPr>
        <w:spacing w:line="360" w:lineRule="auto"/>
        <w:ind w:left="-1276"/>
        <w:jc w:val="both"/>
        <w:rPr>
          <w:rFonts w:ascii="Tahoma" w:hAnsi="Tahoma" w:cs="Tahoma"/>
          <w:sz w:val="22"/>
          <w:szCs w:val="22"/>
        </w:rPr>
      </w:pPr>
      <w:bookmarkStart w:id="57" w:name="_Toc178753450"/>
    </w:p>
    <w:p w:rsidR="001644FC" w:rsidRDefault="001644FC" w:rsidP="001644FC">
      <w:pPr>
        <w:spacing w:line="360" w:lineRule="auto"/>
        <w:ind w:left="-1276"/>
        <w:jc w:val="both"/>
        <w:rPr>
          <w:rFonts w:ascii="Tahoma" w:hAnsi="Tahoma" w:cs="Tahoma"/>
          <w:sz w:val="22"/>
          <w:szCs w:val="22"/>
        </w:rPr>
      </w:pPr>
      <w:r w:rsidRPr="00485A4C">
        <w:rPr>
          <w:rFonts w:ascii="Tahoma" w:hAnsi="Tahoma" w:cs="Tahoma"/>
          <w:sz w:val="22"/>
          <w:szCs w:val="22"/>
        </w:rPr>
        <w:t xml:space="preserve">Κατωτέρω </w:t>
      </w:r>
      <w:r w:rsidR="003D02DB" w:rsidRPr="00485A4C">
        <w:rPr>
          <w:rFonts w:ascii="Tahoma" w:hAnsi="Tahoma" w:cs="Tahoma"/>
          <w:sz w:val="22"/>
          <w:szCs w:val="22"/>
        </w:rPr>
        <w:t xml:space="preserve">παρατίθεται ανάλυση των κατ΄ είδος δαπανών και ο επιμερισμός αυτών στις λειτουργίες για τις περιόδους </w:t>
      </w:r>
      <w:r w:rsidR="000251D7" w:rsidRPr="00485A4C">
        <w:rPr>
          <w:rFonts w:ascii="Tahoma" w:hAnsi="Tahoma" w:cs="Tahoma"/>
          <w:sz w:val="22"/>
          <w:szCs w:val="22"/>
        </w:rPr>
        <w:t>01.01.1</w:t>
      </w:r>
      <w:r w:rsidR="005E7EDE">
        <w:rPr>
          <w:rFonts w:ascii="Tahoma" w:hAnsi="Tahoma" w:cs="Tahoma"/>
          <w:sz w:val="22"/>
          <w:szCs w:val="22"/>
        </w:rPr>
        <w:t>8</w:t>
      </w:r>
      <w:r w:rsidR="000251D7" w:rsidRPr="00485A4C">
        <w:rPr>
          <w:rFonts w:ascii="Tahoma" w:hAnsi="Tahoma" w:cs="Tahoma"/>
          <w:sz w:val="22"/>
          <w:szCs w:val="22"/>
        </w:rPr>
        <w:t xml:space="preserve"> έως 31.12.1</w:t>
      </w:r>
      <w:r w:rsidR="005E7EDE">
        <w:rPr>
          <w:rFonts w:ascii="Tahoma" w:hAnsi="Tahoma" w:cs="Tahoma"/>
          <w:sz w:val="22"/>
          <w:szCs w:val="22"/>
        </w:rPr>
        <w:t>8</w:t>
      </w:r>
      <w:r w:rsidR="003D02DB" w:rsidRPr="00485A4C">
        <w:rPr>
          <w:rFonts w:ascii="Tahoma" w:hAnsi="Tahoma" w:cs="Tahoma"/>
          <w:sz w:val="22"/>
          <w:szCs w:val="22"/>
        </w:rPr>
        <w:t xml:space="preserve"> και </w:t>
      </w:r>
      <w:r w:rsidR="000251D7" w:rsidRPr="00485A4C">
        <w:rPr>
          <w:rFonts w:ascii="Tahoma" w:hAnsi="Tahoma" w:cs="Tahoma"/>
          <w:sz w:val="22"/>
          <w:szCs w:val="22"/>
        </w:rPr>
        <w:t>01.01.1</w:t>
      </w:r>
      <w:r w:rsidR="005E7EDE">
        <w:rPr>
          <w:rFonts w:ascii="Tahoma" w:hAnsi="Tahoma" w:cs="Tahoma"/>
          <w:sz w:val="22"/>
          <w:szCs w:val="22"/>
        </w:rPr>
        <w:t>7</w:t>
      </w:r>
      <w:r w:rsidR="000251D7" w:rsidRPr="00485A4C">
        <w:rPr>
          <w:rFonts w:ascii="Tahoma" w:hAnsi="Tahoma" w:cs="Tahoma"/>
          <w:sz w:val="22"/>
          <w:szCs w:val="22"/>
        </w:rPr>
        <w:t xml:space="preserve"> έως 31.12.1</w:t>
      </w:r>
      <w:r w:rsidR="005E7EDE">
        <w:rPr>
          <w:rFonts w:ascii="Tahoma" w:hAnsi="Tahoma" w:cs="Tahoma"/>
          <w:sz w:val="22"/>
          <w:szCs w:val="22"/>
        </w:rPr>
        <w:t>7</w:t>
      </w:r>
      <w:r w:rsidR="003D02DB" w:rsidRPr="00485A4C">
        <w:rPr>
          <w:rFonts w:ascii="Tahoma" w:hAnsi="Tahoma" w:cs="Tahoma"/>
          <w:sz w:val="22"/>
          <w:szCs w:val="22"/>
        </w:rPr>
        <w:t xml:space="preserve"> αντίστοιχα.</w:t>
      </w:r>
    </w:p>
    <w:p w:rsidR="005E7EDE" w:rsidRDefault="005E7EDE" w:rsidP="001644FC">
      <w:pPr>
        <w:spacing w:line="360" w:lineRule="auto"/>
        <w:ind w:left="-1276"/>
        <w:jc w:val="both"/>
        <w:rPr>
          <w:rFonts w:ascii="Tahoma" w:hAnsi="Tahoma" w:cs="Tahoma"/>
          <w:sz w:val="22"/>
          <w:szCs w:val="22"/>
        </w:rPr>
      </w:pPr>
    </w:p>
    <w:p w:rsidR="005E7EDE" w:rsidRDefault="005E7EDE" w:rsidP="001644FC">
      <w:pPr>
        <w:spacing w:line="360" w:lineRule="auto"/>
        <w:ind w:left="-1276"/>
        <w:jc w:val="both"/>
        <w:rPr>
          <w:rFonts w:ascii="Tahoma" w:hAnsi="Tahoma" w:cs="Tahoma"/>
          <w:sz w:val="22"/>
          <w:szCs w:val="22"/>
        </w:rPr>
      </w:pPr>
    </w:p>
    <w:p w:rsidR="005E7EDE" w:rsidRDefault="005E7EDE" w:rsidP="001644FC">
      <w:pPr>
        <w:spacing w:line="360" w:lineRule="auto"/>
        <w:ind w:left="-1276"/>
        <w:jc w:val="both"/>
        <w:rPr>
          <w:rFonts w:ascii="Tahoma" w:hAnsi="Tahoma" w:cs="Tahoma"/>
          <w:sz w:val="22"/>
          <w:szCs w:val="22"/>
        </w:rPr>
      </w:pPr>
    </w:p>
    <w:p w:rsidR="005E7EDE" w:rsidRDefault="005E7EDE" w:rsidP="001644FC">
      <w:pPr>
        <w:spacing w:line="360" w:lineRule="auto"/>
        <w:ind w:left="-1276"/>
        <w:jc w:val="both"/>
        <w:rPr>
          <w:rFonts w:ascii="Tahoma" w:hAnsi="Tahoma" w:cs="Tahoma"/>
          <w:sz w:val="22"/>
          <w:szCs w:val="22"/>
        </w:rPr>
      </w:pPr>
    </w:p>
    <w:p w:rsidR="005E7EDE" w:rsidRDefault="005E7EDE" w:rsidP="001644FC">
      <w:pPr>
        <w:spacing w:line="360" w:lineRule="auto"/>
        <w:ind w:left="-1276"/>
        <w:jc w:val="both"/>
        <w:rPr>
          <w:rFonts w:ascii="Tahoma" w:hAnsi="Tahoma" w:cs="Tahoma"/>
          <w:sz w:val="22"/>
          <w:szCs w:val="22"/>
        </w:rPr>
      </w:pPr>
    </w:p>
    <w:p w:rsidR="005E7EDE" w:rsidRPr="00485A4C" w:rsidRDefault="005E7EDE" w:rsidP="001644FC">
      <w:pPr>
        <w:spacing w:line="360" w:lineRule="auto"/>
        <w:ind w:left="-1276"/>
        <w:jc w:val="both"/>
        <w:rPr>
          <w:rFonts w:ascii="Tahoma" w:hAnsi="Tahoma" w:cs="Tahoma"/>
          <w:sz w:val="22"/>
          <w:szCs w:val="22"/>
        </w:rPr>
      </w:pPr>
    </w:p>
    <w:p w:rsidR="009675AA" w:rsidRPr="00485A4C" w:rsidRDefault="009675AA" w:rsidP="001644FC">
      <w:pPr>
        <w:spacing w:line="360" w:lineRule="auto"/>
        <w:ind w:left="-1276"/>
        <w:jc w:val="both"/>
        <w:rPr>
          <w:rFonts w:ascii="Tahoma" w:hAnsi="Tahoma" w:cs="Tahoma"/>
          <w:sz w:val="22"/>
          <w:szCs w:val="22"/>
          <w:u w:val="single"/>
        </w:rPr>
      </w:pPr>
    </w:p>
    <w:p w:rsidR="001644FC" w:rsidRPr="00485A4C" w:rsidRDefault="001644FC" w:rsidP="001644FC">
      <w:pPr>
        <w:spacing w:line="360" w:lineRule="auto"/>
        <w:ind w:left="-1276"/>
        <w:jc w:val="both"/>
        <w:rPr>
          <w:rFonts w:ascii="Tahoma" w:hAnsi="Tahoma" w:cs="Tahoma"/>
          <w:sz w:val="22"/>
          <w:szCs w:val="22"/>
          <w:u w:val="single"/>
        </w:rPr>
      </w:pPr>
      <w:r w:rsidRPr="00485A4C">
        <w:rPr>
          <w:rFonts w:ascii="Tahoma" w:hAnsi="Tahoma" w:cs="Tahoma"/>
          <w:sz w:val="22"/>
          <w:szCs w:val="22"/>
          <w:u w:val="single"/>
        </w:rPr>
        <w:lastRenderedPageBreak/>
        <w:t>α) Κόστος Πωληθέντων</w:t>
      </w:r>
    </w:p>
    <w:p w:rsidR="00203F12" w:rsidRPr="00485A4C" w:rsidRDefault="00203F12" w:rsidP="001644FC">
      <w:pPr>
        <w:spacing w:line="360" w:lineRule="auto"/>
        <w:ind w:left="-1276"/>
        <w:jc w:val="both"/>
        <w:rPr>
          <w:rFonts w:ascii="Tahoma" w:hAnsi="Tahoma" w:cs="Tahoma"/>
          <w:sz w:val="22"/>
          <w:szCs w:val="22"/>
          <w:u w:val="single"/>
        </w:rPr>
      </w:pPr>
    </w:p>
    <w:tbl>
      <w:tblPr>
        <w:tblpPr w:leftFromText="180" w:rightFromText="180" w:vertAnchor="text" w:horzAnchor="margin" w:tblpXSpec="center" w:tblpY="77"/>
        <w:tblW w:w="9260" w:type="dxa"/>
        <w:tblLook w:val="04A0" w:firstRow="1" w:lastRow="0" w:firstColumn="1" w:lastColumn="0" w:noHBand="0" w:noVBand="1"/>
      </w:tblPr>
      <w:tblGrid>
        <w:gridCol w:w="5696"/>
        <w:gridCol w:w="1792"/>
        <w:gridCol w:w="1772"/>
      </w:tblGrid>
      <w:tr w:rsidR="005E7EDE" w:rsidTr="005E7EDE">
        <w:trPr>
          <w:trHeight w:val="468"/>
        </w:trPr>
        <w:tc>
          <w:tcPr>
            <w:tcW w:w="5696" w:type="dxa"/>
            <w:tcBorders>
              <w:top w:val="nil"/>
              <w:left w:val="nil"/>
              <w:bottom w:val="nil"/>
              <w:right w:val="nil"/>
            </w:tcBorders>
            <w:shd w:val="clear" w:color="000000" w:fill="E6E6E6"/>
            <w:noWrap/>
            <w:vAlign w:val="bottom"/>
            <w:hideMark/>
          </w:tcPr>
          <w:p w:rsidR="005E7EDE" w:rsidRDefault="005E7EDE" w:rsidP="005E7EDE">
            <w:pPr>
              <w:rPr>
                <w:rFonts w:ascii="Tahoma" w:hAnsi="Tahoma" w:cs="Tahoma"/>
                <w:b/>
                <w:bCs/>
                <w:sz w:val="18"/>
                <w:szCs w:val="18"/>
              </w:rPr>
            </w:pPr>
            <w:r>
              <w:rPr>
                <w:rFonts w:ascii="Tahoma" w:hAnsi="Tahoma" w:cs="Tahoma"/>
                <w:b/>
                <w:bCs/>
                <w:sz w:val="18"/>
                <w:szCs w:val="18"/>
              </w:rPr>
              <w:t>Περιγραφή κόστους</w:t>
            </w:r>
          </w:p>
        </w:tc>
        <w:tc>
          <w:tcPr>
            <w:tcW w:w="1792" w:type="dxa"/>
            <w:tcBorders>
              <w:top w:val="nil"/>
              <w:left w:val="nil"/>
              <w:bottom w:val="nil"/>
              <w:right w:val="nil"/>
            </w:tcBorders>
            <w:shd w:val="clear" w:color="000000" w:fill="E6E6E6"/>
            <w:vAlign w:val="bottom"/>
            <w:hideMark/>
          </w:tcPr>
          <w:p w:rsidR="005E7EDE" w:rsidRDefault="005E7EDE" w:rsidP="005E7EDE">
            <w:pPr>
              <w:jc w:val="center"/>
              <w:rPr>
                <w:rFonts w:ascii="Tahoma" w:hAnsi="Tahoma" w:cs="Tahoma"/>
                <w:b/>
                <w:bCs/>
                <w:sz w:val="18"/>
                <w:szCs w:val="18"/>
              </w:rPr>
            </w:pPr>
            <w:r>
              <w:rPr>
                <w:rFonts w:ascii="Tahoma" w:hAnsi="Tahoma" w:cs="Tahoma"/>
                <w:b/>
                <w:bCs/>
                <w:sz w:val="18"/>
                <w:szCs w:val="18"/>
              </w:rPr>
              <w:t>01.01.18 - 31.12.18</w:t>
            </w:r>
          </w:p>
        </w:tc>
        <w:tc>
          <w:tcPr>
            <w:tcW w:w="1772" w:type="dxa"/>
            <w:tcBorders>
              <w:top w:val="nil"/>
              <w:left w:val="nil"/>
              <w:bottom w:val="nil"/>
              <w:right w:val="nil"/>
            </w:tcBorders>
            <w:shd w:val="clear" w:color="000000" w:fill="E6E6E6"/>
            <w:vAlign w:val="bottom"/>
            <w:hideMark/>
          </w:tcPr>
          <w:p w:rsidR="005E7EDE" w:rsidRDefault="005E7EDE" w:rsidP="005E7EDE">
            <w:pPr>
              <w:jc w:val="center"/>
              <w:rPr>
                <w:rFonts w:ascii="Tahoma" w:hAnsi="Tahoma" w:cs="Tahoma"/>
                <w:b/>
                <w:bCs/>
                <w:sz w:val="18"/>
                <w:szCs w:val="18"/>
              </w:rPr>
            </w:pPr>
            <w:r>
              <w:rPr>
                <w:rFonts w:ascii="Tahoma" w:hAnsi="Tahoma" w:cs="Tahoma"/>
                <w:b/>
                <w:bCs/>
                <w:sz w:val="18"/>
                <w:szCs w:val="18"/>
              </w:rPr>
              <w:t>01.01.17 - 31.12.17</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Κόστος Προσωπικού και εργοδοτικών εισφορών</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277.587,96</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276.021,24</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Ηλεκτρισμός, Ύδρευση και έξοδα παραγωγής</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99.518,21</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119.552,49</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Υλικά άμεσης ανάλωσης - Λοιπά γενικά έξοδα</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98.654,70</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80.321,02</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Αποσβέσεις</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195.200,50</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191.373,60</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Κόστος αναλώσεων εμπορευμάτων</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1.317.512,17</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1.462.017,84</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 </w:t>
            </w:r>
            <w:r>
              <w:rPr>
                <w:rFonts w:ascii="Tahoma" w:hAnsi="Tahoma" w:cs="Tahoma"/>
                <w:b/>
                <w:bCs/>
                <w:sz w:val="18"/>
                <w:szCs w:val="18"/>
              </w:rPr>
              <w:t>Σύνολο</w:t>
            </w:r>
          </w:p>
        </w:tc>
        <w:tc>
          <w:tcPr>
            <w:tcW w:w="1792" w:type="dxa"/>
            <w:tcBorders>
              <w:top w:val="single" w:sz="4" w:space="0" w:color="auto"/>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1.988.473,54</w:t>
            </w:r>
          </w:p>
        </w:tc>
        <w:tc>
          <w:tcPr>
            <w:tcW w:w="1772" w:type="dxa"/>
            <w:tcBorders>
              <w:top w:val="single" w:sz="4" w:space="0" w:color="auto"/>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2.129.286,19</w:t>
            </w:r>
          </w:p>
        </w:tc>
      </w:tr>
    </w:tbl>
    <w:p w:rsidR="004E1486" w:rsidRPr="00485A4C" w:rsidRDefault="004E1486" w:rsidP="001644FC">
      <w:pPr>
        <w:spacing w:line="360" w:lineRule="auto"/>
        <w:ind w:left="-1276"/>
        <w:jc w:val="both"/>
        <w:rPr>
          <w:rFonts w:ascii="Tahoma" w:hAnsi="Tahoma" w:cs="Tahoma"/>
          <w:sz w:val="22"/>
          <w:szCs w:val="22"/>
          <w:u w:val="single"/>
        </w:rPr>
      </w:pPr>
    </w:p>
    <w:p w:rsidR="007B3B07" w:rsidRPr="00485A4C" w:rsidRDefault="007B3B07" w:rsidP="00EE338F">
      <w:pPr>
        <w:spacing w:line="360" w:lineRule="auto"/>
        <w:ind w:left="-426"/>
        <w:jc w:val="both"/>
        <w:rPr>
          <w:rFonts w:ascii="Tahoma" w:hAnsi="Tahoma" w:cs="Tahoma"/>
          <w:bCs/>
          <w:color w:val="000000"/>
          <w:sz w:val="22"/>
          <w:szCs w:val="22"/>
        </w:rPr>
      </w:pPr>
    </w:p>
    <w:p w:rsidR="007B3B07" w:rsidRPr="00485A4C" w:rsidRDefault="007B3B07" w:rsidP="001644FC">
      <w:pPr>
        <w:spacing w:line="360" w:lineRule="auto"/>
        <w:ind w:left="-1276"/>
        <w:jc w:val="both"/>
        <w:rPr>
          <w:rFonts w:ascii="Tahoma" w:hAnsi="Tahoma" w:cs="Tahoma"/>
          <w:sz w:val="22"/>
          <w:szCs w:val="22"/>
          <w:u w:val="single"/>
        </w:rPr>
      </w:pPr>
      <w:bookmarkStart w:id="58" w:name="_Toc147123986"/>
    </w:p>
    <w:p w:rsidR="001644FC" w:rsidRPr="00485A4C" w:rsidRDefault="001644FC" w:rsidP="001644FC">
      <w:pPr>
        <w:spacing w:line="360" w:lineRule="auto"/>
        <w:ind w:left="-1276"/>
        <w:jc w:val="both"/>
        <w:rPr>
          <w:rFonts w:ascii="Tahoma" w:hAnsi="Tahoma" w:cs="Tahoma"/>
          <w:sz w:val="22"/>
          <w:szCs w:val="22"/>
          <w:u w:val="single"/>
        </w:rPr>
      </w:pPr>
      <w:r w:rsidRPr="00485A4C">
        <w:rPr>
          <w:rFonts w:ascii="Tahoma" w:hAnsi="Tahoma" w:cs="Tahoma"/>
          <w:sz w:val="22"/>
          <w:szCs w:val="22"/>
          <w:u w:val="single"/>
        </w:rPr>
        <w:t>β)Έξοδα διοίκησης</w:t>
      </w:r>
    </w:p>
    <w:p w:rsidR="00203F12" w:rsidRPr="00485A4C" w:rsidRDefault="00203F12" w:rsidP="001644FC">
      <w:pPr>
        <w:spacing w:line="360" w:lineRule="auto"/>
        <w:ind w:left="-1276"/>
        <w:jc w:val="both"/>
        <w:rPr>
          <w:rFonts w:ascii="Tahoma" w:hAnsi="Tahoma" w:cs="Tahoma"/>
          <w:sz w:val="22"/>
          <w:szCs w:val="22"/>
          <w:u w:val="single"/>
        </w:rPr>
      </w:pPr>
    </w:p>
    <w:tbl>
      <w:tblPr>
        <w:tblpPr w:leftFromText="180" w:rightFromText="180" w:vertAnchor="text" w:horzAnchor="margin" w:tblpXSpec="center" w:tblpY="77"/>
        <w:tblW w:w="9260" w:type="dxa"/>
        <w:tblLook w:val="04A0" w:firstRow="1" w:lastRow="0" w:firstColumn="1" w:lastColumn="0" w:noHBand="0" w:noVBand="1"/>
      </w:tblPr>
      <w:tblGrid>
        <w:gridCol w:w="5696"/>
        <w:gridCol w:w="1792"/>
        <w:gridCol w:w="1772"/>
      </w:tblGrid>
      <w:tr w:rsidR="005E7EDE" w:rsidTr="005E7EDE">
        <w:trPr>
          <w:trHeight w:val="468"/>
        </w:trPr>
        <w:tc>
          <w:tcPr>
            <w:tcW w:w="5696" w:type="dxa"/>
            <w:tcBorders>
              <w:top w:val="nil"/>
              <w:left w:val="nil"/>
              <w:bottom w:val="nil"/>
              <w:right w:val="nil"/>
            </w:tcBorders>
            <w:shd w:val="clear" w:color="000000" w:fill="E6E6E6"/>
            <w:noWrap/>
            <w:vAlign w:val="bottom"/>
            <w:hideMark/>
          </w:tcPr>
          <w:p w:rsidR="005E7EDE" w:rsidRDefault="005E7EDE" w:rsidP="005E7EDE">
            <w:pPr>
              <w:rPr>
                <w:rFonts w:ascii="Tahoma" w:hAnsi="Tahoma" w:cs="Tahoma"/>
                <w:b/>
                <w:bCs/>
                <w:sz w:val="18"/>
                <w:szCs w:val="18"/>
              </w:rPr>
            </w:pPr>
            <w:r>
              <w:rPr>
                <w:rFonts w:ascii="Tahoma" w:hAnsi="Tahoma" w:cs="Tahoma"/>
                <w:b/>
                <w:bCs/>
                <w:sz w:val="18"/>
                <w:szCs w:val="18"/>
              </w:rPr>
              <w:t>Περιγραφή κόστους</w:t>
            </w:r>
          </w:p>
        </w:tc>
        <w:tc>
          <w:tcPr>
            <w:tcW w:w="1792" w:type="dxa"/>
            <w:tcBorders>
              <w:top w:val="nil"/>
              <w:left w:val="nil"/>
              <w:bottom w:val="nil"/>
              <w:right w:val="nil"/>
            </w:tcBorders>
            <w:shd w:val="clear" w:color="000000" w:fill="E6E6E6"/>
            <w:vAlign w:val="bottom"/>
            <w:hideMark/>
          </w:tcPr>
          <w:p w:rsidR="005E7EDE" w:rsidRDefault="005E7EDE" w:rsidP="005E7EDE">
            <w:pPr>
              <w:jc w:val="center"/>
              <w:rPr>
                <w:rFonts w:ascii="Tahoma" w:hAnsi="Tahoma" w:cs="Tahoma"/>
                <w:b/>
                <w:bCs/>
                <w:sz w:val="18"/>
                <w:szCs w:val="18"/>
              </w:rPr>
            </w:pPr>
            <w:r>
              <w:rPr>
                <w:rFonts w:ascii="Tahoma" w:hAnsi="Tahoma" w:cs="Tahoma"/>
                <w:b/>
                <w:bCs/>
                <w:sz w:val="18"/>
                <w:szCs w:val="18"/>
              </w:rPr>
              <w:t>01.01.18 - 31.12.18</w:t>
            </w:r>
          </w:p>
        </w:tc>
        <w:tc>
          <w:tcPr>
            <w:tcW w:w="1772" w:type="dxa"/>
            <w:tcBorders>
              <w:top w:val="nil"/>
              <w:left w:val="nil"/>
              <w:bottom w:val="nil"/>
              <w:right w:val="nil"/>
            </w:tcBorders>
            <w:shd w:val="clear" w:color="000000" w:fill="E6E6E6"/>
            <w:vAlign w:val="bottom"/>
            <w:hideMark/>
          </w:tcPr>
          <w:p w:rsidR="005E7EDE" w:rsidRDefault="005E7EDE" w:rsidP="005E7EDE">
            <w:pPr>
              <w:jc w:val="center"/>
              <w:rPr>
                <w:rFonts w:ascii="Tahoma" w:hAnsi="Tahoma" w:cs="Tahoma"/>
                <w:b/>
                <w:bCs/>
                <w:sz w:val="18"/>
                <w:szCs w:val="18"/>
              </w:rPr>
            </w:pPr>
            <w:r>
              <w:rPr>
                <w:rFonts w:ascii="Tahoma" w:hAnsi="Tahoma" w:cs="Tahoma"/>
                <w:b/>
                <w:bCs/>
                <w:sz w:val="18"/>
                <w:szCs w:val="18"/>
              </w:rPr>
              <w:t>01.01.17 - 31.12.17</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Κόστος Προσωπικού και εργοδοτικών εισφορών</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87.656,81</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75.709,09</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Αμοιβές εξωτερικών συνεργατών</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15.574,74</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15.077,00</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Άλλα γενικά έξοδα</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176.035,06</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171.256,62</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Κόστος χρήσης κτιρίου</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7.200,00</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28.275,33</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Κόστος χρήσης επίπλων και λοιπού εξοπλισμού</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50.143,79</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58.608,91</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 </w:t>
            </w:r>
            <w:r>
              <w:rPr>
                <w:rFonts w:ascii="Tahoma" w:hAnsi="Tahoma" w:cs="Tahoma"/>
                <w:b/>
                <w:bCs/>
                <w:sz w:val="18"/>
                <w:szCs w:val="18"/>
              </w:rPr>
              <w:t>Σύνολο</w:t>
            </w:r>
          </w:p>
        </w:tc>
        <w:tc>
          <w:tcPr>
            <w:tcW w:w="1792" w:type="dxa"/>
            <w:tcBorders>
              <w:top w:val="single" w:sz="4" w:space="0" w:color="auto"/>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336.610,40</w:t>
            </w:r>
          </w:p>
        </w:tc>
        <w:tc>
          <w:tcPr>
            <w:tcW w:w="1772" w:type="dxa"/>
            <w:tcBorders>
              <w:top w:val="single" w:sz="4" w:space="0" w:color="auto"/>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348.926,95</w:t>
            </w:r>
          </w:p>
        </w:tc>
      </w:tr>
    </w:tbl>
    <w:p w:rsidR="004E1486" w:rsidRPr="00485A4C" w:rsidRDefault="004E1486" w:rsidP="001644FC">
      <w:pPr>
        <w:spacing w:line="360" w:lineRule="auto"/>
        <w:ind w:left="-1276"/>
        <w:jc w:val="both"/>
        <w:rPr>
          <w:rFonts w:ascii="Tahoma" w:hAnsi="Tahoma" w:cs="Tahoma"/>
          <w:sz w:val="22"/>
          <w:szCs w:val="22"/>
          <w:u w:val="single"/>
        </w:rPr>
      </w:pPr>
    </w:p>
    <w:p w:rsidR="00203F12" w:rsidRPr="00485A4C" w:rsidRDefault="00203F12" w:rsidP="005E7EDE">
      <w:pPr>
        <w:spacing w:line="360" w:lineRule="auto"/>
        <w:jc w:val="both"/>
        <w:rPr>
          <w:rFonts w:ascii="Tahoma" w:hAnsi="Tahoma" w:cs="Tahoma"/>
          <w:sz w:val="22"/>
          <w:szCs w:val="22"/>
          <w:u w:val="single"/>
        </w:rPr>
      </w:pPr>
    </w:p>
    <w:p w:rsidR="00203F12" w:rsidRPr="00485A4C" w:rsidRDefault="00203F12" w:rsidP="007B3B07">
      <w:pPr>
        <w:spacing w:line="360" w:lineRule="auto"/>
        <w:ind w:left="-1276"/>
        <w:jc w:val="both"/>
        <w:rPr>
          <w:rFonts w:ascii="Tahoma" w:hAnsi="Tahoma" w:cs="Tahoma"/>
          <w:sz w:val="22"/>
          <w:szCs w:val="22"/>
          <w:u w:val="single"/>
        </w:rPr>
      </w:pPr>
    </w:p>
    <w:p w:rsidR="001644FC" w:rsidRPr="00485A4C" w:rsidRDefault="001644FC" w:rsidP="007B3B07">
      <w:pPr>
        <w:spacing w:line="360" w:lineRule="auto"/>
        <w:ind w:left="-1276"/>
        <w:jc w:val="both"/>
        <w:rPr>
          <w:rFonts w:ascii="Tahoma" w:hAnsi="Tahoma" w:cs="Tahoma"/>
          <w:sz w:val="22"/>
          <w:szCs w:val="22"/>
          <w:u w:val="single"/>
          <w:lang w:val="en-US"/>
        </w:rPr>
      </w:pPr>
      <w:r w:rsidRPr="00485A4C">
        <w:rPr>
          <w:rFonts w:ascii="Tahoma" w:hAnsi="Tahoma" w:cs="Tahoma"/>
          <w:sz w:val="22"/>
          <w:szCs w:val="22"/>
          <w:u w:val="single"/>
        </w:rPr>
        <w:t>γ) Έξοδα διάθεσης</w:t>
      </w:r>
    </w:p>
    <w:p w:rsidR="001644FC" w:rsidRPr="00485A4C" w:rsidRDefault="001644FC" w:rsidP="001667DF">
      <w:pPr>
        <w:spacing w:line="360" w:lineRule="auto"/>
        <w:ind w:left="-426"/>
        <w:jc w:val="both"/>
        <w:rPr>
          <w:rFonts w:ascii="Tahoma" w:hAnsi="Tahoma" w:cs="Tahoma"/>
          <w:bCs/>
          <w:color w:val="000000"/>
          <w:sz w:val="22"/>
          <w:szCs w:val="22"/>
        </w:rPr>
      </w:pPr>
    </w:p>
    <w:tbl>
      <w:tblPr>
        <w:tblpPr w:leftFromText="180" w:rightFromText="180" w:vertAnchor="text" w:horzAnchor="margin" w:tblpXSpec="center" w:tblpY="-42"/>
        <w:tblW w:w="9260" w:type="dxa"/>
        <w:tblLook w:val="04A0" w:firstRow="1" w:lastRow="0" w:firstColumn="1" w:lastColumn="0" w:noHBand="0" w:noVBand="1"/>
      </w:tblPr>
      <w:tblGrid>
        <w:gridCol w:w="5696"/>
        <w:gridCol w:w="1792"/>
        <w:gridCol w:w="1772"/>
      </w:tblGrid>
      <w:tr w:rsidR="005E7EDE" w:rsidTr="005E7EDE">
        <w:trPr>
          <w:trHeight w:val="468"/>
        </w:trPr>
        <w:tc>
          <w:tcPr>
            <w:tcW w:w="5696" w:type="dxa"/>
            <w:tcBorders>
              <w:top w:val="nil"/>
              <w:left w:val="nil"/>
              <w:bottom w:val="nil"/>
              <w:right w:val="nil"/>
            </w:tcBorders>
            <w:shd w:val="clear" w:color="000000" w:fill="E6E6E6"/>
            <w:noWrap/>
            <w:vAlign w:val="bottom"/>
            <w:hideMark/>
          </w:tcPr>
          <w:p w:rsidR="005E7EDE" w:rsidRDefault="005E7EDE" w:rsidP="005E7EDE">
            <w:pPr>
              <w:rPr>
                <w:rFonts w:ascii="Tahoma" w:hAnsi="Tahoma" w:cs="Tahoma"/>
                <w:b/>
                <w:bCs/>
                <w:sz w:val="18"/>
                <w:szCs w:val="18"/>
              </w:rPr>
            </w:pPr>
            <w:r>
              <w:rPr>
                <w:rFonts w:ascii="Tahoma" w:hAnsi="Tahoma" w:cs="Tahoma"/>
                <w:b/>
                <w:bCs/>
                <w:sz w:val="18"/>
                <w:szCs w:val="18"/>
              </w:rPr>
              <w:t>Περιγραφή κόστους</w:t>
            </w:r>
          </w:p>
        </w:tc>
        <w:tc>
          <w:tcPr>
            <w:tcW w:w="1792" w:type="dxa"/>
            <w:tcBorders>
              <w:top w:val="nil"/>
              <w:left w:val="nil"/>
              <w:bottom w:val="nil"/>
              <w:right w:val="nil"/>
            </w:tcBorders>
            <w:shd w:val="clear" w:color="000000" w:fill="E6E6E6"/>
            <w:vAlign w:val="bottom"/>
            <w:hideMark/>
          </w:tcPr>
          <w:p w:rsidR="005E7EDE" w:rsidRDefault="005E7EDE" w:rsidP="005E7EDE">
            <w:pPr>
              <w:jc w:val="center"/>
              <w:rPr>
                <w:rFonts w:ascii="Tahoma" w:hAnsi="Tahoma" w:cs="Tahoma"/>
                <w:b/>
                <w:bCs/>
                <w:sz w:val="18"/>
                <w:szCs w:val="18"/>
              </w:rPr>
            </w:pPr>
            <w:r>
              <w:rPr>
                <w:rFonts w:ascii="Tahoma" w:hAnsi="Tahoma" w:cs="Tahoma"/>
                <w:b/>
                <w:bCs/>
                <w:sz w:val="18"/>
                <w:szCs w:val="18"/>
              </w:rPr>
              <w:t>01.01.18 - 31.12.18</w:t>
            </w:r>
          </w:p>
        </w:tc>
        <w:tc>
          <w:tcPr>
            <w:tcW w:w="1772" w:type="dxa"/>
            <w:tcBorders>
              <w:top w:val="nil"/>
              <w:left w:val="nil"/>
              <w:bottom w:val="nil"/>
              <w:right w:val="nil"/>
            </w:tcBorders>
            <w:shd w:val="clear" w:color="000000" w:fill="E6E6E6"/>
            <w:vAlign w:val="bottom"/>
            <w:hideMark/>
          </w:tcPr>
          <w:p w:rsidR="005E7EDE" w:rsidRDefault="005E7EDE" w:rsidP="005E7EDE">
            <w:pPr>
              <w:jc w:val="center"/>
              <w:rPr>
                <w:rFonts w:ascii="Tahoma" w:hAnsi="Tahoma" w:cs="Tahoma"/>
                <w:b/>
                <w:bCs/>
                <w:sz w:val="18"/>
                <w:szCs w:val="18"/>
              </w:rPr>
            </w:pPr>
            <w:r>
              <w:rPr>
                <w:rFonts w:ascii="Tahoma" w:hAnsi="Tahoma" w:cs="Tahoma"/>
                <w:b/>
                <w:bCs/>
                <w:sz w:val="18"/>
                <w:szCs w:val="18"/>
              </w:rPr>
              <w:t>01.01.17 - 31.12.17</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Κόστος Προσωπικού και εργοδοτικών εισφορών</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83.746,81</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69.154,65</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Παροχές τρίτων</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13.209,37</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6.589,50</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Έξοδα μεταφοράς</w:t>
            </w:r>
          </w:p>
        </w:tc>
        <w:tc>
          <w:tcPr>
            <w:tcW w:w="179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0,00</w:t>
            </w:r>
          </w:p>
        </w:tc>
        <w:tc>
          <w:tcPr>
            <w:tcW w:w="1772"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60.280,11</w:t>
            </w:r>
          </w:p>
        </w:tc>
      </w:tr>
      <w:tr w:rsidR="005E7EDE" w:rsidTr="005E7EDE">
        <w:trPr>
          <w:trHeight w:val="360"/>
        </w:trPr>
        <w:tc>
          <w:tcPr>
            <w:tcW w:w="5696" w:type="dxa"/>
            <w:tcBorders>
              <w:top w:val="nil"/>
              <w:left w:val="nil"/>
              <w:bottom w:val="nil"/>
              <w:right w:val="nil"/>
            </w:tcBorders>
            <w:shd w:val="clear" w:color="auto" w:fill="auto"/>
            <w:vAlign w:val="bottom"/>
            <w:hideMark/>
          </w:tcPr>
          <w:p w:rsidR="005E7EDE" w:rsidRDefault="005E7EDE" w:rsidP="005E7EDE">
            <w:pPr>
              <w:jc w:val="both"/>
              <w:rPr>
                <w:rFonts w:ascii="Tahoma" w:hAnsi="Tahoma" w:cs="Tahoma"/>
                <w:sz w:val="18"/>
                <w:szCs w:val="18"/>
              </w:rPr>
            </w:pPr>
            <w:r>
              <w:rPr>
                <w:rFonts w:ascii="Tahoma" w:hAnsi="Tahoma" w:cs="Tahoma"/>
                <w:sz w:val="18"/>
                <w:szCs w:val="18"/>
              </w:rPr>
              <w:t>Άλλα γενικά έξοδα (κόστος ενέργειας, επισκευών,</w:t>
            </w:r>
          </w:p>
        </w:tc>
        <w:tc>
          <w:tcPr>
            <w:tcW w:w="1792" w:type="dxa"/>
            <w:tcBorders>
              <w:top w:val="nil"/>
              <w:left w:val="nil"/>
              <w:bottom w:val="nil"/>
              <w:right w:val="nil"/>
            </w:tcBorders>
            <w:shd w:val="clear" w:color="auto" w:fill="auto"/>
            <w:vAlign w:val="center"/>
            <w:hideMark/>
          </w:tcPr>
          <w:p w:rsidR="005E7EDE" w:rsidRDefault="005E7EDE" w:rsidP="005E7EDE">
            <w:pPr>
              <w:jc w:val="both"/>
              <w:rPr>
                <w:rFonts w:ascii="Tahoma" w:hAnsi="Tahoma" w:cs="Tahoma"/>
                <w:sz w:val="18"/>
                <w:szCs w:val="18"/>
              </w:rPr>
            </w:pPr>
          </w:p>
        </w:tc>
        <w:tc>
          <w:tcPr>
            <w:tcW w:w="1772" w:type="dxa"/>
            <w:tcBorders>
              <w:top w:val="nil"/>
              <w:left w:val="nil"/>
              <w:bottom w:val="nil"/>
              <w:right w:val="nil"/>
            </w:tcBorders>
            <w:shd w:val="clear" w:color="auto" w:fill="auto"/>
            <w:vAlign w:val="center"/>
            <w:hideMark/>
          </w:tcPr>
          <w:p w:rsidR="005E7EDE" w:rsidRDefault="005E7EDE" w:rsidP="005E7EDE">
            <w:pPr>
              <w:jc w:val="right"/>
              <w:rPr>
                <w:sz w:val="20"/>
                <w:szCs w:val="20"/>
              </w:rPr>
            </w:pPr>
          </w:p>
        </w:tc>
      </w:tr>
      <w:tr w:rsidR="005E7EDE" w:rsidTr="005E7EDE">
        <w:trPr>
          <w:trHeight w:val="360"/>
        </w:trPr>
        <w:tc>
          <w:tcPr>
            <w:tcW w:w="5696" w:type="dxa"/>
            <w:tcBorders>
              <w:top w:val="nil"/>
              <w:left w:val="nil"/>
              <w:bottom w:val="nil"/>
              <w:right w:val="nil"/>
            </w:tcBorders>
            <w:shd w:val="clear" w:color="auto" w:fill="auto"/>
            <w:vAlign w:val="bottom"/>
            <w:hideMark/>
          </w:tcPr>
          <w:p w:rsidR="005E7EDE" w:rsidRDefault="005E7EDE" w:rsidP="005E7EDE">
            <w:pPr>
              <w:jc w:val="both"/>
              <w:rPr>
                <w:rFonts w:ascii="Tahoma" w:hAnsi="Tahoma" w:cs="Tahoma"/>
                <w:sz w:val="18"/>
                <w:szCs w:val="18"/>
              </w:rPr>
            </w:pPr>
            <w:r>
              <w:rPr>
                <w:rFonts w:ascii="Tahoma" w:hAnsi="Tahoma" w:cs="Tahoma"/>
                <w:sz w:val="18"/>
                <w:szCs w:val="18"/>
              </w:rPr>
              <w:t>έντυπα κλπ) και προβλέψεις</w:t>
            </w:r>
          </w:p>
        </w:tc>
        <w:tc>
          <w:tcPr>
            <w:tcW w:w="1792" w:type="dxa"/>
            <w:tcBorders>
              <w:top w:val="nil"/>
              <w:left w:val="nil"/>
              <w:bottom w:val="nil"/>
              <w:right w:val="nil"/>
            </w:tcBorders>
            <w:shd w:val="clear" w:color="auto" w:fill="auto"/>
            <w:vAlign w:val="center"/>
            <w:hideMark/>
          </w:tcPr>
          <w:p w:rsidR="005E7EDE" w:rsidRDefault="005E7EDE" w:rsidP="005E7EDE">
            <w:pPr>
              <w:jc w:val="right"/>
              <w:rPr>
                <w:rFonts w:ascii="Tahoma" w:hAnsi="Tahoma" w:cs="Tahoma"/>
                <w:sz w:val="18"/>
                <w:szCs w:val="18"/>
              </w:rPr>
            </w:pPr>
            <w:r>
              <w:rPr>
                <w:rFonts w:ascii="Tahoma" w:hAnsi="Tahoma" w:cs="Tahoma"/>
                <w:sz w:val="18"/>
                <w:szCs w:val="18"/>
              </w:rPr>
              <w:t>218.952,26</w:t>
            </w:r>
          </w:p>
        </w:tc>
        <w:tc>
          <w:tcPr>
            <w:tcW w:w="1772" w:type="dxa"/>
            <w:tcBorders>
              <w:top w:val="nil"/>
              <w:left w:val="nil"/>
              <w:bottom w:val="nil"/>
              <w:right w:val="nil"/>
            </w:tcBorders>
            <w:shd w:val="clear" w:color="auto" w:fill="auto"/>
            <w:vAlign w:val="center"/>
            <w:hideMark/>
          </w:tcPr>
          <w:p w:rsidR="005E7EDE" w:rsidRDefault="005E7EDE" w:rsidP="005E7EDE">
            <w:pPr>
              <w:jc w:val="right"/>
              <w:rPr>
                <w:rFonts w:ascii="Tahoma" w:hAnsi="Tahoma" w:cs="Tahoma"/>
                <w:sz w:val="18"/>
                <w:szCs w:val="18"/>
              </w:rPr>
            </w:pPr>
            <w:r>
              <w:rPr>
                <w:rFonts w:ascii="Tahoma" w:hAnsi="Tahoma" w:cs="Tahoma"/>
                <w:sz w:val="18"/>
                <w:szCs w:val="18"/>
              </w:rPr>
              <w:t>138.560,82</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Κόστος χρήσης επίπλων και λοιπού εξοπλισμού</w:t>
            </w:r>
          </w:p>
        </w:tc>
        <w:tc>
          <w:tcPr>
            <w:tcW w:w="1792" w:type="dxa"/>
            <w:tcBorders>
              <w:top w:val="nil"/>
              <w:left w:val="nil"/>
              <w:bottom w:val="nil"/>
              <w:right w:val="nil"/>
            </w:tcBorders>
            <w:shd w:val="clear" w:color="auto" w:fill="auto"/>
            <w:vAlign w:val="bottom"/>
            <w:hideMark/>
          </w:tcPr>
          <w:p w:rsidR="005E7EDE" w:rsidRDefault="005E7EDE" w:rsidP="005E7EDE">
            <w:pPr>
              <w:jc w:val="right"/>
              <w:rPr>
                <w:rFonts w:ascii="Tahoma" w:hAnsi="Tahoma" w:cs="Tahoma"/>
                <w:sz w:val="18"/>
                <w:szCs w:val="18"/>
              </w:rPr>
            </w:pPr>
            <w:r>
              <w:rPr>
                <w:rFonts w:ascii="Tahoma" w:hAnsi="Tahoma" w:cs="Tahoma"/>
                <w:sz w:val="18"/>
                <w:szCs w:val="18"/>
              </w:rPr>
              <w:t>68.090,60</w:t>
            </w:r>
          </w:p>
        </w:tc>
        <w:tc>
          <w:tcPr>
            <w:tcW w:w="1772" w:type="dxa"/>
            <w:tcBorders>
              <w:top w:val="nil"/>
              <w:left w:val="nil"/>
              <w:bottom w:val="nil"/>
              <w:right w:val="nil"/>
            </w:tcBorders>
            <w:shd w:val="clear" w:color="auto" w:fill="auto"/>
            <w:vAlign w:val="bottom"/>
            <w:hideMark/>
          </w:tcPr>
          <w:p w:rsidR="005E7EDE" w:rsidRDefault="005E7EDE" w:rsidP="005E7EDE">
            <w:pPr>
              <w:jc w:val="right"/>
              <w:rPr>
                <w:rFonts w:ascii="Tahoma" w:hAnsi="Tahoma" w:cs="Tahoma"/>
                <w:sz w:val="18"/>
                <w:szCs w:val="18"/>
              </w:rPr>
            </w:pPr>
            <w:r>
              <w:rPr>
                <w:rFonts w:ascii="Tahoma" w:hAnsi="Tahoma" w:cs="Tahoma"/>
                <w:sz w:val="18"/>
                <w:szCs w:val="18"/>
              </w:rPr>
              <w:t>64.018,50</w:t>
            </w:r>
          </w:p>
        </w:tc>
      </w:tr>
      <w:tr w:rsidR="005E7EDE" w:rsidTr="005E7EDE">
        <w:trPr>
          <w:trHeight w:val="360"/>
        </w:trPr>
        <w:tc>
          <w:tcPr>
            <w:tcW w:w="5696" w:type="dxa"/>
            <w:tcBorders>
              <w:top w:val="nil"/>
              <w:left w:val="nil"/>
              <w:bottom w:val="nil"/>
              <w:right w:val="nil"/>
            </w:tcBorders>
            <w:shd w:val="clear" w:color="auto" w:fill="auto"/>
            <w:noWrap/>
            <w:vAlign w:val="bottom"/>
            <w:hideMark/>
          </w:tcPr>
          <w:p w:rsidR="005E7EDE" w:rsidRDefault="005E7EDE" w:rsidP="005E7EDE">
            <w:pPr>
              <w:rPr>
                <w:rFonts w:ascii="Tahoma" w:hAnsi="Tahoma" w:cs="Tahoma"/>
                <w:sz w:val="18"/>
                <w:szCs w:val="18"/>
              </w:rPr>
            </w:pPr>
            <w:r>
              <w:rPr>
                <w:rFonts w:ascii="Tahoma" w:hAnsi="Tahoma" w:cs="Tahoma"/>
                <w:sz w:val="18"/>
                <w:szCs w:val="18"/>
              </w:rPr>
              <w:t> </w:t>
            </w:r>
            <w:r>
              <w:rPr>
                <w:rFonts w:ascii="Tahoma" w:hAnsi="Tahoma" w:cs="Tahoma"/>
                <w:b/>
                <w:bCs/>
                <w:sz w:val="18"/>
                <w:szCs w:val="18"/>
              </w:rPr>
              <w:t>Σύνολο</w:t>
            </w:r>
          </w:p>
        </w:tc>
        <w:tc>
          <w:tcPr>
            <w:tcW w:w="1792" w:type="dxa"/>
            <w:tcBorders>
              <w:top w:val="single" w:sz="4" w:space="0" w:color="auto"/>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383.999,04</w:t>
            </w:r>
          </w:p>
        </w:tc>
        <w:tc>
          <w:tcPr>
            <w:tcW w:w="1772" w:type="dxa"/>
            <w:tcBorders>
              <w:top w:val="single" w:sz="4" w:space="0" w:color="auto"/>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338.603,58</w:t>
            </w:r>
          </w:p>
        </w:tc>
      </w:tr>
    </w:tbl>
    <w:p w:rsidR="009C3B31" w:rsidRDefault="009C3B31" w:rsidP="009C3B31">
      <w:pPr>
        <w:spacing w:line="360" w:lineRule="auto"/>
        <w:ind w:left="-1276" w:hanging="27"/>
        <w:jc w:val="both"/>
        <w:rPr>
          <w:rFonts w:ascii="Tahoma" w:hAnsi="Tahoma" w:cs="Tahoma"/>
          <w:bCs/>
          <w:color w:val="000000"/>
          <w:sz w:val="22"/>
          <w:szCs w:val="22"/>
        </w:rPr>
      </w:pPr>
    </w:p>
    <w:p w:rsidR="005E7EDE" w:rsidRDefault="005E7EDE" w:rsidP="009C3B31">
      <w:pPr>
        <w:spacing w:line="360" w:lineRule="auto"/>
        <w:ind w:left="-1276" w:hanging="27"/>
        <w:jc w:val="both"/>
        <w:rPr>
          <w:rFonts w:ascii="Tahoma" w:hAnsi="Tahoma" w:cs="Tahoma"/>
          <w:bCs/>
          <w:color w:val="000000"/>
          <w:sz w:val="22"/>
          <w:szCs w:val="22"/>
        </w:rPr>
      </w:pPr>
    </w:p>
    <w:p w:rsidR="005E7EDE" w:rsidRDefault="005E7EDE" w:rsidP="009C3B31">
      <w:pPr>
        <w:spacing w:line="360" w:lineRule="auto"/>
        <w:ind w:left="-1276" w:hanging="27"/>
        <w:jc w:val="both"/>
        <w:rPr>
          <w:rFonts w:ascii="Tahoma" w:hAnsi="Tahoma" w:cs="Tahoma"/>
          <w:bCs/>
          <w:color w:val="000000"/>
          <w:sz w:val="22"/>
          <w:szCs w:val="22"/>
        </w:rPr>
      </w:pPr>
    </w:p>
    <w:p w:rsidR="005E7EDE" w:rsidRDefault="005E7EDE" w:rsidP="005E7EDE">
      <w:pPr>
        <w:spacing w:line="360" w:lineRule="auto"/>
        <w:jc w:val="both"/>
        <w:rPr>
          <w:rFonts w:ascii="Tahoma" w:hAnsi="Tahoma" w:cs="Tahoma"/>
          <w:bCs/>
          <w:color w:val="000000"/>
          <w:sz w:val="22"/>
          <w:szCs w:val="22"/>
        </w:rPr>
      </w:pPr>
    </w:p>
    <w:p w:rsidR="005E7EDE" w:rsidRPr="00485A4C" w:rsidRDefault="005E7EDE" w:rsidP="009C3B31">
      <w:pPr>
        <w:spacing w:line="360" w:lineRule="auto"/>
        <w:ind w:left="-1276" w:hanging="27"/>
        <w:jc w:val="both"/>
        <w:rPr>
          <w:rFonts w:ascii="Tahoma" w:hAnsi="Tahoma" w:cs="Tahoma"/>
          <w:bCs/>
          <w:color w:val="000000"/>
          <w:sz w:val="22"/>
          <w:szCs w:val="22"/>
        </w:rPr>
      </w:pPr>
    </w:p>
    <w:bookmarkEnd w:id="58"/>
    <w:p w:rsidR="00480197" w:rsidRPr="00485A4C" w:rsidRDefault="005D64C9" w:rsidP="007B3B07">
      <w:pPr>
        <w:pStyle w:val="Heading2"/>
        <w:spacing w:before="0" w:after="0" w:line="360" w:lineRule="auto"/>
        <w:ind w:left="-539"/>
        <w:rPr>
          <w:rFonts w:ascii="Tahoma" w:hAnsi="Tahoma" w:cs="Tahoma"/>
          <w:i w:val="0"/>
          <w:sz w:val="22"/>
          <w:szCs w:val="22"/>
          <w:lang w:val="en-US"/>
        </w:rPr>
      </w:pPr>
      <w:r w:rsidRPr="00485A4C">
        <w:rPr>
          <w:rFonts w:ascii="Tahoma" w:hAnsi="Tahoma" w:cs="Tahoma"/>
          <w:i w:val="0"/>
          <w:sz w:val="22"/>
          <w:szCs w:val="22"/>
        </w:rPr>
        <w:t xml:space="preserve"> </w:t>
      </w:r>
      <w:bookmarkStart w:id="59" w:name="_Toc526260619"/>
      <w:r w:rsidRPr="00485A4C">
        <w:rPr>
          <w:rFonts w:ascii="Tahoma" w:hAnsi="Tahoma" w:cs="Tahoma"/>
          <w:i w:val="0"/>
          <w:sz w:val="22"/>
          <w:szCs w:val="22"/>
          <w:lang w:val="en-US"/>
        </w:rPr>
        <w:t>7</w:t>
      </w:r>
      <w:r w:rsidR="007B3B07" w:rsidRPr="00485A4C">
        <w:rPr>
          <w:rFonts w:ascii="Tahoma" w:hAnsi="Tahoma" w:cs="Tahoma"/>
          <w:i w:val="0"/>
          <w:sz w:val="22"/>
          <w:szCs w:val="22"/>
        </w:rPr>
        <w:t>.</w:t>
      </w:r>
      <w:r w:rsidR="001667DF" w:rsidRPr="00485A4C">
        <w:rPr>
          <w:rFonts w:ascii="Tahoma" w:hAnsi="Tahoma" w:cs="Tahoma"/>
          <w:i w:val="0"/>
          <w:sz w:val="22"/>
          <w:szCs w:val="22"/>
          <w:lang w:val="en-US"/>
        </w:rPr>
        <w:t>18</w:t>
      </w:r>
      <w:r w:rsidR="007B3B07" w:rsidRPr="00485A4C">
        <w:rPr>
          <w:rFonts w:ascii="Tahoma" w:hAnsi="Tahoma" w:cs="Tahoma"/>
          <w:i w:val="0"/>
          <w:sz w:val="22"/>
          <w:szCs w:val="22"/>
        </w:rPr>
        <w:t xml:space="preserve">. </w:t>
      </w:r>
      <w:r w:rsidR="00480197" w:rsidRPr="00485A4C">
        <w:rPr>
          <w:rFonts w:ascii="Tahoma" w:hAnsi="Tahoma" w:cs="Tahoma"/>
          <w:i w:val="0"/>
          <w:sz w:val="22"/>
          <w:szCs w:val="22"/>
        </w:rPr>
        <w:t>Άλλα έξοδα</w:t>
      </w:r>
      <w:bookmarkEnd w:id="57"/>
      <w:bookmarkEnd w:id="59"/>
    </w:p>
    <w:p w:rsidR="001667DF" w:rsidRPr="00485A4C" w:rsidRDefault="001667DF" w:rsidP="001667DF">
      <w:pPr>
        <w:rPr>
          <w:rFonts w:ascii="Tahoma" w:hAnsi="Tahoma" w:cs="Tahoma"/>
          <w:lang w:val="en-US" w:eastAsia="x-none"/>
        </w:rPr>
      </w:pPr>
    </w:p>
    <w:tbl>
      <w:tblPr>
        <w:tblW w:w="7959" w:type="dxa"/>
        <w:tblInd w:w="-567" w:type="dxa"/>
        <w:tblLook w:val="04A0" w:firstRow="1" w:lastRow="0" w:firstColumn="1" w:lastColumn="0" w:noHBand="0" w:noVBand="1"/>
      </w:tblPr>
      <w:tblGrid>
        <w:gridCol w:w="4395"/>
        <w:gridCol w:w="1791"/>
        <w:gridCol w:w="1773"/>
      </w:tblGrid>
      <w:tr w:rsidR="005E7EDE" w:rsidTr="005E7EDE">
        <w:trPr>
          <w:trHeight w:val="468"/>
        </w:trPr>
        <w:tc>
          <w:tcPr>
            <w:tcW w:w="4395" w:type="dxa"/>
            <w:tcBorders>
              <w:top w:val="nil"/>
              <w:left w:val="nil"/>
              <w:bottom w:val="nil"/>
              <w:right w:val="nil"/>
            </w:tcBorders>
            <w:shd w:val="clear" w:color="000000" w:fill="E6E6E6"/>
            <w:noWrap/>
            <w:vAlign w:val="bottom"/>
            <w:hideMark/>
          </w:tcPr>
          <w:p w:rsidR="005E7EDE" w:rsidRDefault="005E7EDE">
            <w:pPr>
              <w:rPr>
                <w:rFonts w:ascii="Tahoma" w:hAnsi="Tahoma" w:cs="Tahoma"/>
                <w:b/>
                <w:bCs/>
                <w:sz w:val="18"/>
                <w:szCs w:val="18"/>
              </w:rPr>
            </w:pPr>
            <w:r>
              <w:rPr>
                <w:rFonts w:ascii="Tahoma" w:hAnsi="Tahoma" w:cs="Tahoma"/>
                <w:b/>
                <w:bCs/>
                <w:sz w:val="18"/>
                <w:szCs w:val="18"/>
              </w:rPr>
              <w:t> </w:t>
            </w:r>
          </w:p>
        </w:tc>
        <w:tc>
          <w:tcPr>
            <w:tcW w:w="1791" w:type="dxa"/>
            <w:tcBorders>
              <w:top w:val="nil"/>
              <w:left w:val="nil"/>
              <w:bottom w:val="nil"/>
              <w:right w:val="nil"/>
            </w:tcBorders>
            <w:shd w:val="clear" w:color="000000" w:fill="E6E6E6"/>
            <w:vAlign w:val="bottom"/>
            <w:hideMark/>
          </w:tcPr>
          <w:p w:rsidR="005E7EDE" w:rsidRDefault="005E7EDE">
            <w:pPr>
              <w:jc w:val="center"/>
              <w:rPr>
                <w:rFonts w:ascii="Tahoma" w:hAnsi="Tahoma" w:cs="Tahoma"/>
                <w:b/>
                <w:bCs/>
                <w:sz w:val="18"/>
                <w:szCs w:val="18"/>
              </w:rPr>
            </w:pPr>
            <w:r>
              <w:rPr>
                <w:rFonts w:ascii="Tahoma" w:hAnsi="Tahoma" w:cs="Tahoma"/>
                <w:b/>
                <w:bCs/>
                <w:sz w:val="18"/>
                <w:szCs w:val="18"/>
              </w:rPr>
              <w:t>01.01.18 - 31.12.18</w:t>
            </w:r>
          </w:p>
        </w:tc>
        <w:tc>
          <w:tcPr>
            <w:tcW w:w="1773" w:type="dxa"/>
            <w:tcBorders>
              <w:top w:val="nil"/>
              <w:left w:val="nil"/>
              <w:bottom w:val="nil"/>
              <w:right w:val="nil"/>
            </w:tcBorders>
            <w:shd w:val="clear" w:color="000000" w:fill="E6E6E6"/>
            <w:vAlign w:val="bottom"/>
            <w:hideMark/>
          </w:tcPr>
          <w:p w:rsidR="005E7EDE" w:rsidRDefault="005E7EDE">
            <w:pPr>
              <w:jc w:val="center"/>
              <w:rPr>
                <w:rFonts w:ascii="Tahoma" w:hAnsi="Tahoma" w:cs="Tahoma"/>
                <w:b/>
                <w:bCs/>
                <w:sz w:val="18"/>
                <w:szCs w:val="18"/>
              </w:rPr>
            </w:pPr>
            <w:r>
              <w:rPr>
                <w:rFonts w:ascii="Tahoma" w:hAnsi="Tahoma" w:cs="Tahoma"/>
                <w:b/>
                <w:bCs/>
                <w:sz w:val="18"/>
                <w:szCs w:val="18"/>
              </w:rPr>
              <w:t>01.01.17 - 31.12.17</w:t>
            </w:r>
          </w:p>
        </w:tc>
      </w:tr>
      <w:tr w:rsidR="005E7EDE" w:rsidTr="005E7EDE">
        <w:trPr>
          <w:trHeight w:val="360"/>
        </w:trPr>
        <w:tc>
          <w:tcPr>
            <w:tcW w:w="4395" w:type="dxa"/>
            <w:tcBorders>
              <w:top w:val="nil"/>
              <w:left w:val="nil"/>
              <w:bottom w:val="nil"/>
              <w:right w:val="nil"/>
            </w:tcBorders>
            <w:shd w:val="clear" w:color="auto" w:fill="auto"/>
            <w:vAlign w:val="bottom"/>
            <w:hideMark/>
          </w:tcPr>
          <w:p w:rsidR="005E7EDE" w:rsidRDefault="005E7EDE">
            <w:pPr>
              <w:rPr>
                <w:rFonts w:ascii="Tahoma" w:hAnsi="Tahoma" w:cs="Tahoma"/>
                <w:sz w:val="18"/>
                <w:szCs w:val="18"/>
              </w:rPr>
            </w:pPr>
            <w:r>
              <w:rPr>
                <w:rFonts w:ascii="Tahoma" w:hAnsi="Tahoma" w:cs="Tahoma"/>
                <w:sz w:val="18"/>
                <w:szCs w:val="18"/>
              </w:rPr>
              <w:t>Έκτακτα και ανόργανα έξοδα</w:t>
            </w:r>
          </w:p>
        </w:tc>
        <w:tc>
          <w:tcPr>
            <w:tcW w:w="1791"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13,68</w:t>
            </w:r>
          </w:p>
        </w:tc>
        <w:tc>
          <w:tcPr>
            <w:tcW w:w="1773"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3.269,46</w:t>
            </w:r>
          </w:p>
        </w:tc>
      </w:tr>
      <w:tr w:rsidR="005E7EDE" w:rsidTr="005E7EDE">
        <w:trPr>
          <w:trHeight w:val="360"/>
        </w:trPr>
        <w:tc>
          <w:tcPr>
            <w:tcW w:w="4395" w:type="dxa"/>
            <w:tcBorders>
              <w:top w:val="nil"/>
              <w:left w:val="nil"/>
              <w:bottom w:val="nil"/>
              <w:right w:val="nil"/>
            </w:tcBorders>
            <w:shd w:val="clear" w:color="auto" w:fill="auto"/>
            <w:vAlign w:val="bottom"/>
            <w:hideMark/>
          </w:tcPr>
          <w:p w:rsidR="005E7EDE" w:rsidRDefault="005E7EDE">
            <w:pPr>
              <w:rPr>
                <w:rFonts w:ascii="Tahoma" w:hAnsi="Tahoma" w:cs="Tahoma"/>
                <w:sz w:val="18"/>
                <w:szCs w:val="18"/>
              </w:rPr>
            </w:pPr>
            <w:r>
              <w:rPr>
                <w:rFonts w:ascii="Tahoma" w:hAnsi="Tahoma" w:cs="Tahoma"/>
                <w:sz w:val="18"/>
                <w:szCs w:val="18"/>
              </w:rPr>
              <w:t>Έκτακτες ζημίες</w:t>
            </w:r>
          </w:p>
        </w:tc>
        <w:tc>
          <w:tcPr>
            <w:tcW w:w="1791"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0,00</w:t>
            </w:r>
          </w:p>
        </w:tc>
        <w:tc>
          <w:tcPr>
            <w:tcW w:w="1773"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34.201,25</w:t>
            </w:r>
          </w:p>
        </w:tc>
      </w:tr>
      <w:tr w:rsidR="005E7EDE" w:rsidTr="005E7EDE">
        <w:trPr>
          <w:trHeight w:val="360"/>
        </w:trPr>
        <w:tc>
          <w:tcPr>
            <w:tcW w:w="4395"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Έξοδα προηγούμενων χρήσεων</w:t>
            </w:r>
          </w:p>
        </w:tc>
        <w:tc>
          <w:tcPr>
            <w:tcW w:w="1791"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0,00</w:t>
            </w:r>
          </w:p>
        </w:tc>
        <w:tc>
          <w:tcPr>
            <w:tcW w:w="1773"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0,00</w:t>
            </w:r>
          </w:p>
        </w:tc>
      </w:tr>
      <w:tr w:rsidR="005E7EDE" w:rsidTr="005E7EDE">
        <w:trPr>
          <w:trHeight w:val="360"/>
        </w:trPr>
        <w:tc>
          <w:tcPr>
            <w:tcW w:w="4395"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Προβλέψεις για επισφαλείς απαιτήσεις</w:t>
            </w:r>
          </w:p>
        </w:tc>
        <w:tc>
          <w:tcPr>
            <w:tcW w:w="1791"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0,00</w:t>
            </w:r>
          </w:p>
        </w:tc>
        <w:tc>
          <w:tcPr>
            <w:tcW w:w="1773"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9.820,00</w:t>
            </w:r>
          </w:p>
        </w:tc>
      </w:tr>
      <w:tr w:rsidR="005E7EDE" w:rsidTr="005E7EDE">
        <w:trPr>
          <w:trHeight w:val="360"/>
        </w:trPr>
        <w:tc>
          <w:tcPr>
            <w:tcW w:w="4395"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 </w:t>
            </w:r>
            <w:r>
              <w:rPr>
                <w:rFonts w:ascii="Tahoma" w:hAnsi="Tahoma" w:cs="Tahoma"/>
                <w:b/>
                <w:bCs/>
                <w:sz w:val="18"/>
                <w:szCs w:val="18"/>
              </w:rPr>
              <w:t>Σύνολο</w:t>
            </w:r>
          </w:p>
        </w:tc>
        <w:tc>
          <w:tcPr>
            <w:tcW w:w="1791" w:type="dxa"/>
            <w:tcBorders>
              <w:top w:val="single" w:sz="4" w:space="0" w:color="auto"/>
              <w:left w:val="nil"/>
              <w:bottom w:val="double" w:sz="6" w:space="0" w:color="auto"/>
              <w:right w:val="nil"/>
            </w:tcBorders>
            <w:shd w:val="clear" w:color="auto" w:fill="auto"/>
            <w:noWrap/>
            <w:vAlign w:val="bottom"/>
            <w:hideMark/>
          </w:tcPr>
          <w:p w:rsidR="005E7EDE" w:rsidRDefault="005E7EDE">
            <w:pPr>
              <w:jc w:val="right"/>
              <w:rPr>
                <w:rFonts w:ascii="Tahoma" w:hAnsi="Tahoma" w:cs="Tahoma"/>
                <w:b/>
                <w:bCs/>
                <w:sz w:val="18"/>
                <w:szCs w:val="18"/>
              </w:rPr>
            </w:pPr>
            <w:r>
              <w:rPr>
                <w:rFonts w:ascii="Tahoma" w:hAnsi="Tahoma" w:cs="Tahoma"/>
                <w:b/>
                <w:bCs/>
                <w:sz w:val="18"/>
                <w:szCs w:val="18"/>
              </w:rPr>
              <w:t>13,68</w:t>
            </w:r>
          </w:p>
        </w:tc>
        <w:tc>
          <w:tcPr>
            <w:tcW w:w="1773" w:type="dxa"/>
            <w:tcBorders>
              <w:top w:val="single" w:sz="4" w:space="0" w:color="auto"/>
              <w:left w:val="nil"/>
              <w:bottom w:val="double" w:sz="6" w:space="0" w:color="auto"/>
              <w:right w:val="nil"/>
            </w:tcBorders>
            <w:shd w:val="clear" w:color="auto" w:fill="auto"/>
            <w:noWrap/>
            <w:vAlign w:val="bottom"/>
            <w:hideMark/>
          </w:tcPr>
          <w:p w:rsidR="005E7EDE" w:rsidRDefault="005E7EDE">
            <w:pPr>
              <w:jc w:val="right"/>
              <w:rPr>
                <w:rFonts w:ascii="Tahoma" w:hAnsi="Tahoma" w:cs="Tahoma"/>
                <w:b/>
                <w:bCs/>
                <w:sz w:val="18"/>
                <w:szCs w:val="18"/>
              </w:rPr>
            </w:pPr>
            <w:r>
              <w:rPr>
                <w:rFonts w:ascii="Tahoma" w:hAnsi="Tahoma" w:cs="Tahoma"/>
                <w:b/>
                <w:bCs/>
                <w:sz w:val="18"/>
                <w:szCs w:val="18"/>
              </w:rPr>
              <w:t>47.290,71</w:t>
            </w:r>
          </w:p>
        </w:tc>
      </w:tr>
    </w:tbl>
    <w:p w:rsidR="00480197" w:rsidRPr="00485A4C" w:rsidRDefault="00480197" w:rsidP="001667DF">
      <w:pPr>
        <w:ind w:left="-426"/>
        <w:rPr>
          <w:rFonts w:ascii="Tahoma" w:hAnsi="Tahoma" w:cs="Tahoma"/>
          <w:sz w:val="22"/>
          <w:szCs w:val="22"/>
          <w:highlight w:val="red"/>
          <w:lang w:val="en-US"/>
        </w:rPr>
      </w:pPr>
    </w:p>
    <w:p w:rsidR="001667DF" w:rsidRPr="00485A4C" w:rsidRDefault="001667DF" w:rsidP="001667DF">
      <w:pPr>
        <w:ind w:left="-426"/>
        <w:rPr>
          <w:rFonts w:ascii="Tahoma" w:hAnsi="Tahoma" w:cs="Tahoma"/>
          <w:sz w:val="22"/>
          <w:szCs w:val="22"/>
          <w:highlight w:val="red"/>
          <w:lang w:val="en-US"/>
        </w:rPr>
      </w:pPr>
    </w:p>
    <w:p w:rsidR="001667DF" w:rsidRPr="00485A4C" w:rsidRDefault="001667DF" w:rsidP="001667DF">
      <w:pPr>
        <w:ind w:left="-426"/>
        <w:rPr>
          <w:rFonts w:ascii="Tahoma" w:hAnsi="Tahoma" w:cs="Tahoma"/>
          <w:sz w:val="22"/>
          <w:szCs w:val="22"/>
          <w:lang w:val="en-US"/>
        </w:rPr>
      </w:pPr>
    </w:p>
    <w:p w:rsidR="00480197" w:rsidRPr="00485A4C" w:rsidRDefault="005D64C9" w:rsidP="00480197">
      <w:pPr>
        <w:pStyle w:val="Heading2"/>
        <w:spacing w:before="0" w:after="0" w:line="360" w:lineRule="auto"/>
        <w:ind w:left="-539"/>
        <w:rPr>
          <w:rFonts w:ascii="Tahoma" w:hAnsi="Tahoma" w:cs="Tahoma"/>
          <w:i w:val="0"/>
          <w:sz w:val="22"/>
          <w:szCs w:val="22"/>
        </w:rPr>
      </w:pPr>
      <w:bookmarkStart w:id="60" w:name="_Toc178753451"/>
      <w:bookmarkStart w:id="61" w:name="_Toc526260620"/>
      <w:r w:rsidRPr="00485A4C">
        <w:rPr>
          <w:rFonts w:ascii="Tahoma" w:hAnsi="Tahoma" w:cs="Tahoma"/>
          <w:i w:val="0"/>
          <w:sz w:val="22"/>
          <w:szCs w:val="22"/>
          <w:lang w:val="el-GR"/>
        </w:rPr>
        <w:t>7</w:t>
      </w:r>
      <w:r w:rsidR="00480197" w:rsidRPr="00485A4C">
        <w:rPr>
          <w:rFonts w:ascii="Tahoma" w:hAnsi="Tahoma" w:cs="Tahoma"/>
          <w:i w:val="0"/>
          <w:sz w:val="22"/>
          <w:szCs w:val="22"/>
        </w:rPr>
        <w:t>.</w:t>
      </w:r>
      <w:r w:rsidR="001667DF" w:rsidRPr="00485A4C">
        <w:rPr>
          <w:rFonts w:ascii="Tahoma" w:hAnsi="Tahoma" w:cs="Tahoma"/>
          <w:i w:val="0"/>
          <w:sz w:val="22"/>
          <w:szCs w:val="22"/>
          <w:lang w:val="el-GR"/>
        </w:rPr>
        <w:t>19</w:t>
      </w:r>
      <w:r w:rsidR="00480197" w:rsidRPr="00485A4C">
        <w:rPr>
          <w:rFonts w:ascii="Tahoma" w:hAnsi="Tahoma" w:cs="Tahoma"/>
          <w:i w:val="0"/>
          <w:sz w:val="22"/>
          <w:szCs w:val="22"/>
        </w:rPr>
        <w:t>. Χρηματοοικονομικά έσοδα</w:t>
      </w:r>
      <w:bookmarkEnd w:id="60"/>
      <w:bookmarkEnd w:id="61"/>
    </w:p>
    <w:p w:rsidR="001667DF" w:rsidRPr="00485A4C" w:rsidRDefault="001667DF" w:rsidP="00480197">
      <w:pPr>
        <w:ind w:left="-539"/>
        <w:jc w:val="both"/>
        <w:rPr>
          <w:rFonts w:ascii="Tahoma" w:hAnsi="Tahoma" w:cs="Tahoma"/>
          <w:sz w:val="22"/>
          <w:szCs w:val="22"/>
        </w:rPr>
      </w:pPr>
    </w:p>
    <w:p w:rsidR="00480197" w:rsidRPr="00485A4C" w:rsidRDefault="00480197" w:rsidP="00480197">
      <w:pPr>
        <w:ind w:left="-539"/>
        <w:jc w:val="both"/>
        <w:rPr>
          <w:rFonts w:ascii="Tahoma" w:hAnsi="Tahoma" w:cs="Tahoma"/>
          <w:sz w:val="22"/>
          <w:szCs w:val="22"/>
        </w:rPr>
      </w:pPr>
      <w:r w:rsidRPr="00485A4C">
        <w:rPr>
          <w:rFonts w:ascii="Tahoma" w:hAnsi="Tahoma" w:cs="Tahoma"/>
          <w:sz w:val="22"/>
          <w:szCs w:val="22"/>
        </w:rPr>
        <w:t>Παρακάτω παρατίθεται πίνακας ανάλυσης των χρηματοοικονομικών εσόδων:</w:t>
      </w:r>
    </w:p>
    <w:p w:rsidR="001667DF" w:rsidRPr="00485A4C" w:rsidRDefault="001667DF" w:rsidP="00480197">
      <w:pPr>
        <w:ind w:left="-539"/>
        <w:jc w:val="both"/>
        <w:rPr>
          <w:rFonts w:ascii="Tahoma" w:hAnsi="Tahoma" w:cs="Tahoma"/>
          <w:sz w:val="22"/>
          <w:szCs w:val="22"/>
          <w:highlight w:val="red"/>
        </w:rPr>
      </w:pPr>
    </w:p>
    <w:tbl>
      <w:tblPr>
        <w:tblW w:w="7817" w:type="dxa"/>
        <w:tblInd w:w="-567" w:type="dxa"/>
        <w:tblLook w:val="04A0" w:firstRow="1" w:lastRow="0" w:firstColumn="1" w:lastColumn="0" w:noHBand="0" w:noVBand="1"/>
      </w:tblPr>
      <w:tblGrid>
        <w:gridCol w:w="4253"/>
        <w:gridCol w:w="1792"/>
        <w:gridCol w:w="1772"/>
      </w:tblGrid>
      <w:tr w:rsidR="005E7EDE" w:rsidTr="005E7EDE">
        <w:trPr>
          <w:trHeight w:val="468"/>
        </w:trPr>
        <w:tc>
          <w:tcPr>
            <w:tcW w:w="4253" w:type="dxa"/>
            <w:tcBorders>
              <w:top w:val="nil"/>
              <w:left w:val="nil"/>
              <w:bottom w:val="nil"/>
              <w:right w:val="nil"/>
            </w:tcBorders>
            <w:shd w:val="clear" w:color="000000" w:fill="E6E6E6"/>
            <w:noWrap/>
            <w:vAlign w:val="bottom"/>
            <w:hideMark/>
          </w:tcPr>
          <w:p w:rsidR="005E7EDE" w:rsidRDefault="005E7EDE">
            <w:pPr>
              <w:rPr>
                <w:rFonts w:ascii="Tahoma" w:hAnsi="Tahoma" w:cs="Tahoma"/>
                <w:b/>
                <w:bCs/>
                <w:sz w:val="18"/>
                <w:szCs w:val="18"/>
              </w:rPr>
            </w:pPr>
            <w:r>
              <w:rPr>
                <w:rFonts w:ascii="Tahoma" w:hAnsi="Tahoma" w:cs="Tahoma"/>
                <w:b/>
                <w:bCs/>
                <w:sz w:val="18"/>
                <w:szCs w:val="18"/>
              </w:rPr>
              <w:t> </w:t>
            </w:r>
          </w:p>
        </w:tc>
        <w:tc>
          <w:tcPr>
            <w:tcW w:w="1792" w:type="dxa"/>
            <w:tcBorders>
              <w:top w:val="nil"/>
              <w:left w:val="nil"/>
              <w:bottom w:val="nil"/>
              <w:right w:val="nil"/>
            </w:tcBorders>
            <w:shd w:val="clear" w:color="000000" w:fill="E6E6E6"/>
            <w:vAlign w:val="bottom"/>
            <w:hideMark/>
          </w:tcPr>
          <w:p w:rsidR="005E7EDE" w:rsidRDefault="005E7EDE">
            <w:pPr>
              <w:jc w:val="center"/>
              <w:rPr>
                <w:rFonts w:ascii="Tahoma" w:hAnsi="Tahoma" w:cs="Tahoma"/>
                <w:b/>
                <w:bCs/>
                <w:sz w:val="18"/>
                <w:szCs w:val="18"/>
              </w:rPr>
            </w:pPr>
            <w:r>
              <w:rPr>
                <w:rFonts w:ascii="Tahoma" w:hAnsi="Tahoma" w:cs="Tahoma"/>
                <w:b/>
                <w:bCs/>
                <w:sz w:val="18"/>
                <w:szCs w:val="18"/>
              </w:rPr>
              <w:t>01.01.18 - 31.12.18</w:t>
            </w:r>
          </w:p>
        </w:tc>
        <w:tc>
          <w:tcPr>
            <w:tcW w:w="1772" w:type="dxa"/>
            <w:tcBorders>
              <w:top w:val="nil"/>
              <w:left w:val="nil"/>
              <w:bottom w:val="nil"/>
              <w:right w:val="nil"/>
            </w:tcBorders>
            <w:shd w:val="clear" w:color="000000" w:fill="E6E6E6"/>
            <w:vAlign w:val="bottom"/>
            <w:hideMark/>
          </w:tcPr>
          <w:p w:rsidR="005E7EDE" w:rsidRDefault="005E7EDE">
            <w:pPr>
              <w:jc w:val="center"/>
              <w:rPr>
                <w:rFonts w:ascii="Tahoma" w:hAnsi="Tahoma" w:cs="Tahoma"/>
                <w:b/>
                <w:bCs/>
                <w:sz w:val="18"/>
                <w:szCs w:val="18"/>
              </w:rPr>
            </w:pPr>
            <w:r>
              <w:rPr>
                <w:rFonts w:ascii="Tahoma" w:hAnsi="Tahoma" w:cs="Tahoma"/>
                <w:b/>
                <w:bCs/>
                <w:sz w:val="18"/>
                <w:szCs w:val="18"/>
              </w:rPr>
              <w:t>01.01.17 - 31.12.17</w:t>
            </w:r>
          </w:p>
        </w:tc>
      </w:tr>
      <w:tr w:rsidR="005E7EDE" w:rsidTr="005E7EDE">
        <w:trPr>
          <w:trHeight w:val="360"/>
        </w:trPr>
        <w:tc>
          <w:tcPr>
            <w:tcW w:w="4253"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Λοιποί τόκοι-έσοδα</w:t>
            </w:r>
          </w:p>
        </w:tc>
        <w:tc>
          <w:tcPr>
            <w:tcW w:w="179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703,66</w:t>
            </w:r>
          </w:p>
        </w:tc>
        <w:tc>
          <w:tcPr>
            <w:tcW w:w="177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175,89</w:t>
            </w:r>
          </w:p>
        </w:tc>
      </w:tr>
      <w:tr w:rsidR="005E7EDE" w:rsidTr="005E7EDE">
        <w:trPr>
          <w:trHeight w:val="360"/>
        </w:trPr>
        <w:tc>
          <w:tcPr>
            <w:tcW w:w="4253"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 </w:t>
            </w:r>
            <w:r>
              <w:rPr>
                <w:rFonts w:ascii="Tahoma" w:hAnsi="Tahoma" w:cs="Tahoma"/>
                <w:b/>
                <w:bCs/>
                <w:sz w:val="18"/>
                <w:szCs w:val="18"/>
              </w:rPr>
              <w:t>Σύνολο</w:t>
            </w:r>
          </w:p>
        </w:tc>
        <w:tc>
          <w:tcPr>
            <w:tcW w:w="1792" w:type="dxa"/>
            <w:tcBorders>
              <w:top w:val="single" w:sz="4" w:space="0" w:color="auto"/>
              <w:left w:val="nil"/>
              <w:bottom w:val="double" w:sz="6" w:space="0" w:color="auto"/>
              <w:right w:val="nil"/>
            </w:tcBorders>
            <w:shd w:val="clear" w:color="auto" w:fill="auto"/>
            <w:noWrap/>
            <w:vAlign w:val="bottom"/>
            <w:hideMark/>
          </w:tcPr>
          <w:p w:rsidR="005E7EDE" w:rsidRDefault="005E7EDE">
            <w:pPr>
              <w:jc w:val="right"/>
              <w:rPr>
                <w:rFonts w:ascii="Tahoma" w:hAnsi="Tahoma" w:cs="Tahoma"/>
                <w:b/>
                <w:bCs/>
                <w:sz w:val="18"/>
                <w:szCs w:val="18"/>
              </w:rPr>
            </w:pPr>
            <w:r>
              <w:rPr>
                <w:rFonts w:ascii="Tahoma" w:hAnsi="Tahoma" w:cs="Tahoma"/>
                <w:b/>
                <w:bCs/>
                <w:sz w:val="18"/>
                <w:szCs w:val="18"/>
              </w:rPr>
              <w:t>703,66</w:t>
            </w:r>
          </w:p>
        </w:tc>
        <w:tc>
          <w:tcPr>
            <w:tcW w:w="1772" w:type="dxa"/>
            <w:tcBorders>
              <w:top w:val="single" w:sz="4" w:space="0" w:color="auto"/>
              <w:left w:val="nil"/>
              <w:bottom w:val="double" w:sz="6" w:space="0" w:color="auto"/>
              <w:right w:val="nil"/>
            </w:tcBorders>
            <w:shd w:val="clear" w:color="auto" w:fill="auto"/>
            <w:noWrap/>
            <w:vAlign w:val="bottom"/>
            <w:hideMark/>
          </w:tcPr>
          <w:p w:rsidR="005E7EDE" w:rsidRDefault="005E7EDE">
            <w:pPr>
              <w:jc w:val="right"/>
              <w:rPr>
                <w:rFonts w:ascii="Tahoma" w:hAnsi="Tahoma" w:cs="Tahoma"/>
                <w:b/>
                <w:bCs/>
                <w:sz w:val="18"/>
                <w:szCs w:val="18"/>
              </w:rPr>
            </w:pPr>
            <w:r>
              <w:rPr>
                <w:rFonts w:ascii="Tahoma" w:hAnsi="Tahoma" w:cs="Tahoma"/>
                <w:b/>
                <w:bCs/>
                <w:sz w:val="18"/>
                <w:szCs w:val="18"/>
              </w:rPr>
              <w:t>175,89</w:t>
            </w:r>
          </w:p>
        </w:tc>
      </w:tr>
    </w:tbl>
    <w:p w:rsidR="007F7D79" w:rsidRPr="00485A4C" w:rsidRDefault="007F7D79" w:rsidP="001667DF">
      <w:pPr>
        <w:ind w:left="-426"/>
        <w:jc w:val="both"/>
        <w:rPr>
          <w:rFonts w:ascii="Tahoma" w:hAnsi="Tahoma" w:cs="Tahoma"/>
          <w:bCs/>
          <w:color w:val="000000"/>
          <w:sz w:val="22"/>
          <w:szCs w:val="22"/>
          <w:highlight w:val="red"/>
        </w:rPr>
      </w:pPr>
    </w:p>
    <w:p w:rsidR="00903E5E" w:rsidRPr="00485A4C" w:rsidRDefault="00903E5E" w:rsidP="007F7D79">
      <w:pPr>
        <w:ind w:left="-993"/>
        <w:jc w:val="both"/>
        <w:rPr>
          <w:rFonts w:ascii="Tahoma" w:hAnsi="Tahoma" w:cs="Tahoma"/>
          <w:bCs/>
          <w:color w:val="000000"/>
          <w:sz w:val="22"/>
          <w:szCs w:val="22"/>
          <w:highlight w:val="red"/>
        </w:rPr>
      </w:pPr>
    </w:p>
    <w:p w:rsidR="00203F12" w:rsidRPr="00485A4C" w:rsidRDefault="00203F12" w:rsidP="005E7EDE">
      <w:pPr>
        <w:jc w:val="both"/>
        <w:rPr>
          <w:rFonts w:ascii="Tahoma" w:hAnsi="Tahoma" w:cs="Tahoma"/>
          <w:bCs/>
          <w:color w:val="000000"/>
          <w:sz w:val="22"/>
          <w:szCs w:val="22"/>
          <w:highlight w:val="red"/>
        </w:rPr>
      </w:pPr>
    </w:p>
    <w:p w:rsidR="00203F12" w:rsidRPr="00485A4C" w:rsidRDefault="00203F12" w:rsidP="007F7D79">
      <w:pPr>
        <w:ind w:left="-993"/>
        <w:jc w:val="both"/>
        <w:rPr>
          <w:rFonts w:ascii="Tahoma" w:hAnsi="Tahoma" w:cs="Tahoma"/>
          <w:bCs/>
          <w:color w:val="000000"/>
          <w:sz w:val="22"/>
          <w:szCs w:val="22"/>
          <w:highlight w:val="red"/>
        </w:rPr>
      </w:pPr>
    </w:p>
    <w:p w:rsidR="00480197" w:rsidRPr="00485A4C" w:rsidRDefault="005D64C9" w:rsidP="00480197">
      <w:pPr>
        <w:pStyle w:val="Heading2"/>
        <w:spacing w:before="0" w:after="0" w:line="360" w:lineRule="auto"/>
        <w:ind w:left="-539"/>
        <w:rPr>
          <w:rFonts w:ascii="Tahoma" w:hAnsi="Tahoma" w:cs="Tahoma"/>
          <w:i w:val="0"/>
          <w:sz w:val="22"/>
          <w:szCs w:val="22"/>
        </w:rPr>
      </w:pPr>
      <w:bookmarkStart w:id="62" w:name="_Toc178753452"/>
      <w:bookmarkStart w:id="63" w:name="_Toc526260621"/>
      <w:r w:rsidRPr="00485A4C">
        <w:rPr>
          <w:rFonts w:ascii="Tahoma" w:hAnsi="Tahoma" w:cs="Tahoma"/>
          <w:i w:val="0"/>
          <w:sz w:val="22"/>
          <w:szCs w:val="22"/>
          <w:lang w:val="el-GR"/>
        </w:rPr>
        <w:t>7</w:t>
      </w:r>
      <w:r w:rsidR="00480197" w:rsidRPr="00485A4C">
        <w:rPr>
          <w:rFonts w:ascii="Tahoma" w:hAnsi="Tahoma" w:cs="Tahoma"/>
          <w:i w:val="0"/>
          <w:sz w:val="22"/>
          <w:szCs w:val="22"/>
        </w:rPr>
        <w:t>.2</w:t>
      </w:r>
      <w:r w:rsidR="00FF431D" w:rsidRPr="00485A4C">
        <w:rPr>
          <w:rFonts w:ascii="Tahoma" w:hAnsi="Tahoma" w:cs="Tahoma"/>
          <w:i w:val="0"/>
          <w:sz w:val="22"/>
          <w:szCs w:val="22"/>
          <w:lang w:val="el-GR"/>
        </w:rPr>
        <w:t>0</w:t>
      </w:r>
      <w:r w:rsidR="00480197" w:rsidRPr="00485A4C">
        <w:rPr>
          <w:rFonts w:ascii="Tahoma" w:hAnsi="Tahoma" w:cs="Tahoma"/>
          <w:i w:val="0"/>
          <w:sz w:val="22"/>
          <w:szCs w:val="22"/>
        </w:rPr>
        <w:t>. Χρηματοοικονομικά έξοδα</w:t>
      </w:r>
      <w:bookmarkEnd w:id="62"/>
      <w:bookmarkEnd w:id="63"/>
    </w:p>
    <w:p w:rsidR="00480197" w:rsidRDefault="00480197" w:rsidP="00F667AD">
      <w:pPr>
        <w:spacing w:line="360" w:lineRule="auto"/>
        <w:ind w:left="-539"/>
        <w:jc w:val="both"/>
        <w:rPr>
          <w:rFonts w:ascii="Tahoma" w:hAnsi="Tahoma" w:cs="Tahoma"/>
          <w:sz w:val="22"/>
          <w:szCs w:val="22"/>
        </w:rPr>
      </w:pPr>
      <w:r w:rsidRPr="00485A4C">
        <w:rPr>
          <w:rFonts w:ascii="Tahoma" w:hAnsi="Tahoma" w:cs="Tahoma"/>
          <w:sz w:val="22"/>
          <w:szCs w:val="22"/>
        </w:rPr>
        <w:t>Παρακάτω παρατίθεται πίνακας ανάλυσης των χρηματοοικονομικών εξόδων:</w:t>
      </w:r>
    </w:p>
    <w:p w:rsidR="005E7EDE" w:rsidRPr="00485A4C" w:rsidRDefault="005E7EDE" w:rsidP="00F667AD">
      <w:pPr>
        <w:spacing w:line="360" w:lineRule="auto"/>
        <w:ind w:left="-539"/>
        <w:jc w:val="both"/>
        <w:rPr>
          <w:rFonts w:ascii="Tahoma" w:hAnsi="Tahoma" w:cs="Tahoma"/>
          <w:sz w:val="22"/>
          <w:szCs w:val="22"/>
        </w:rPr>
      </w:pPr>
    </w:p>
    <w:tbl>
      <w:tblPr>
        <w:tblW w:w="7959" w:type="dxa"/>
        <w:tblInd w:w="-567" w:type="dxa"/>
        <w:tblLook w:val="04A0" w:firstRow="1" w:lastRow="0" w:firstColumn="1" w:lastColumn="0" w:noHBand="0" w:noVBand="1"/>
      </w:tblPr>
      <w:tblGrid>
        <w:gridCol w:w="4395"/>
        <w:gridCol w:w="1792"/>
        <w:gridCol w:w="1772"/>
      </w:tblGrid>
      <w:tr w:rsidR="005E7EDE" w:rsidTr="005E7EDE">
        <w:trPr>
          <w:trHeight w:val="468"/>
        </w:trPr>
        <w:tc>
          <w:tcPr>
            <w:tcW w:w="4395" w:type="dxa"/>
            <w:tcBorders>
              <w:top w:val="nil"/>
              <w:left w:val="nil"/>
              <w:bottom w:val="nil"/>
              <w:right w:val="nil"/>
            </w:tcBorders>
            <w:shd w:val="clear" w:color="000000" w:fill="E6E6E6"/>
            <w:noWrap/>
            <w:vAlign w:val="bottom"/>
            <w:hideMark/>
          </w:tcPr>
          <w:p w:rsidR="005E7EDE" w:rsidRDefault="005E7EDE">
            <w:pPr>
              <w:rPr>
                <w:rFonts w:ascii="Tahoma" w:hAnsi="Tahoma" w:cs="Tahoma"/>
                <w:b/>
                <w:bCs/>
                <w:sz w:val="18"/>
                <w:szCs w:val="18"/>
              </w:rPr>
            </w:pPr>
            <w:r>
              <w:rPr>
                <w:rFonts w:ascii="Tahoma" w:hAnsi="Tahoma" w:cs="Tahoma"/>
                <w:b/>
                <w:bCs/>
                <w:sz w:val="18"/>
                <w:szCs w:val="18"/>
              </w:rPr>
              <w:t> </w:t>
            </w:r>
          </w:p>
        </w:tc>
        <w:tc>
          <w:tcPr>
            <w:tcW w:w="1792" w:type="dxa"/>
            <w:tcBorders>
              <w:top w:val="nil"/>
              <w:left w:val="nil"/>
              <w:bottom w:val="nil"/>
              <w:right w:val="nil"/>
            </w:tcBorders>
            <w:shd w:val="clear" w:color="000000" w:fill="E6E6E6"/>
            <w:vAlign w:val="bottom"/>
            <w:hideMark/>
          </w:tcPr>
          <w:p w:rsidR="005E7EDE" w:rsidRDefault="005E7EDE">
            <w:pPr>
              <w:jc w:val="center"/>
              <w:rPr>
                <w:rFonts w:ascii="Tahoma" w:hAnsi="Tahoma" w:cs="Tahoma"/>
                <w:b/>
                <w:bCs/>
                <w:sz w:val="18"/>
                <w:szCs w:val="18"/>
              </w:rPr>
            </w:pPr>
            <w:r>
              <w:rPr>
                <w:rFonts w:ascii="Tahoma" w:hAnsi="Tahoma" w:cs="Tahoma"/>
                <w:b/>
                <w:bCs/>
                <w:sz w:val="18"/>
                <w:szCs w:val="18"/>
              </w:rPr>
              <w:t>01.01.18 - 31.12.18</w:t>
            </w:r>
          </w:p>
        </w:tc>
        <w:tc>
          <w:tcPr>
            <w:tcW w:w="1772" w:type="dxa"/>
            <w:tcBorders>
              <w:top w:val="nil"/>
              <w:left w:val="nil"/>
              <w:bottom w:val="nil"/>
              <w:right w:val="nil"/>
            </w:tcBorders>
            <w:shd w:val="clear" w:color="000000" w:fill="E6E6E6"/>
            <w:vAlign w:val="bottom"/>
            <w:hideMark/>
          </w:tcPr>
          <w:p w:rsidR="005E7EDE" w:rsidRDefault="005E7EDE">
            <w:pPr>
              <w:jc w:val="center"/>
              <w:rPr>
                <w:rFonts w:ascii="Tahoma" w:hAnsi="Tahoma" w:cs="Tahoma"/>
                <w:b/>
                <w:bCs/>
                <w:sz w:val="18"/>
                <w:szCs w:val="18"/>
              </w:rPr>
            </w:pPr>
            <w:r>
              <w:rPr>
                <w:rFonts w:ascii="Tahoma" w:hAnsi="Tahoma" w:cs="Tahoma"/>
                <w:b/>
                <w:bCs/>
                <w:sz w:val="18"/>
                <w:szCs w:val="18"/>
              </w:rPr>
              <w:t>01.01.17 - 31.12.17</w:t>
            </w:r>
          </w:p>
        </w:tc>
      </w:tr>
      <w:tr w:rsidR="005E7EDE" w:rsidTr="005E7EDE">
        <w:trPr>
          <w:trHeight w:val="360"/>
        </w:trPr>
        <w:tc>
          <w:tcPr>
            <w:tcW w:w="4395" w:type="dxa"/>
            <w:tcBorders>
              <w:top w:val="nil"/>
              <w:left w:val="nil"/>
              <w:bottom w:val="nil"/>
              <w:right w:val="nil"/>
            </w:tcBorders>
            <w:shd w:val="clear" w:color="auto" w:fill="auto"/>
            <w:vAlign w:val="bottom"/>
            <w:hideMark/>
          </w:tcPr>
          <w:p w:rsidR="005E7EDE" w:rsidRDefault="005E7EDE">
            <w:pPr>
              <w:rPr>
                <w:rFonts w:ascii="Tahoma" w:hAnsi="Tahoma" w:cs="Tahoma"/>
                <w:sz w:val="18"/>
                <w:szCs w:val="18"/>
              </w:rPr>
            </w:pPr>
            <w:r>
              <w:rPr>
                <w:rFonts w:ascii="Tahoma" w:hAnsi="Tahoma" w:cs="Tahoma"/>
                <w:sz w:val="18"/>
                <w:szCs w:val="18"/>
              </w:rPr>
              <w:t>Tόκοι και έξοδα ομολογιακού δανείου</w:t>
            </w:r>
          </w:p>
        </w:tc>
        <w:tc>
          <w:tcPr>
            <w:tcW w:w="179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0,00</w:t>
            </w:r>
          </w:p>
        </w:tc>
        <w:tc>
          <w:tcPr>
            <w:tcW w:w="177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0,00</w:t>
            </w:r>
          </w:p>
        </w:tc>
      </w:tr>
      <w:tr w:rsidR="005E7EDE" w:rsidTr="005E7EDE">
        <w:trPr>
          <w:trHeight w:val="360"/>
        </w:trPr>
        <w:tc>
          <w:tcPr>
            <w:tcW w:w="4395" w:type="dxa"/>
            <w:tcBorders>
              <w:top w:val="nil"/>
              <w:left w:val="nil"/>
              <w:bottom w:val="nil"/>
              <w:right w:val="nil"/>
            </w:tcBorders>
            <w:shd w:val="clear" w:color="auto" w:fill="auto"/>
            <w:vAlign w:val="bottom"/>
            <w:hideMark/>
          </w:tcPr>
          <w:p w:rsidR="005E7EDE" w:rsidRDefault="005E7EDE">
            <w:pPr>
              <w:rPr>
                <w:rFonts w:ascii="Tahoma" w:hAnsi="Tahoma" w:cs="Tahoma"/>
                <w:sz w:val="18"/>
                <w:szCs w:val="18"/>
              </w:rPr>
            </w:pPr>
            <w:r>
              <w:rPr>
                <w:rFonts w:ascii="Tahoma" w:hAnsi="Tahoma" w:cs="Tahoma"/>
                <w:sz w:val="18"/>
                <w:szCs w:val="18"/>
              </w:rPr>
              <w:t>Tόκοι και έξοδα μακρο/σμων χορηγήσεων</w:t>
            </w:r>
          </w:p>
        </w:tc>
        <w:tc>
          <w:tcPr>
            <w:tcW w:w="179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0,00</w:t>
            </w:r>
          </w:p>
        </w:tc>
        <w:tc>
          <w:tcPr>
            <w:tcW w:w="177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377,65</w:t>
            </w:r>
          </w:p>
        </w:tc>
      </w:tr>
      <w:tr w:rsidR="005E7EDE" w:rsidTr="005E7EDE">
        <w:trPr>
          <w:trHeight w:val="360"/>
        </w:trPr>
        <w:tc>
          <w:tcPr>
            <w:tcW w:w="4395"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Λοιπά συναφή με τις χρημ/σεις έξοδα</w:t>
            </w:r>
          </w:p>
        </w:tc>
        <w:tc>
          <w:tcPr>
            <w:tcW w:w="179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1.508,08</w:t>
            </w:r>
          </w:p>
        </w:tc>
        <w:tc>
          <w:tcPr>
            <w:tcW w:w="1772" w:type="dxa"/>
            <w:tcBorders>
              <w:top w:val="nil"/>
              <w:left w:val="nil"/>
              <w:bottom w:val="nil"/>
              <w:right w:val="nil"/>
            </w:tcBorders>
            <w:shd w:val="clear" w:color="auto" w:fill="auto"/>
            <w:noWrap/>
            <w:vAlign w:val="bottom"/>
            <w:hideMark/>
          </w:tcPr>
          <w:p w:rsidR="005E7EDE" w:rsidRDefault="005E7EDE">
            <w:pPr>
              <w:jc w:val="right"/>
              <w:rPr>
                <w:rFonts w:ascii="Tahoma" w:hAnsi="Tahoma" w:cs="Tahoma"/>
                <w:sz w:val="18"/>
                <w:szCs w:val="18"/>
              </w:rPr>
            </w:pPr>
            <w:r>
              <w:rPr>
                <w:rFonts w:ascii="Tahoma" w:hAnsi="Tahoma" w:cs="Tahoma"/>
                <w:sz w:val="18"/>
                <w:szCs w:val="18"/>
              </w:rPr>
              <w:t>757,72</w:t>
            </w:r>
          </w:p>
        </w:tc>
      </w:tr>
      <w:tr w:rsidR="005E7EDE" w:rsidTr="005E7EDE">
        <w:trPr>
          <w:trHeight w:val="360"/>
        </w:trPr>
        <w:tc>
          <w:tcPr>
            <w:tcW w:w="4395"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 </w:t>
            </w:r>
            <w:r>
              <w:rPr>
                <w:rFonts w:ascii="Tahoma" w:hAnsi="Tahoma" w:cs="Tahoma"/>
                <w:b/>
                <w:bCs/>
                <w:sz w:val="18"/>
                <w:szCs w:val="18"/>
              </w:rPr>
              <w:t>Σύνολο</w:t>
            </w:r>
          </w:p>
        </w:tc>
        <w:tc>
          <w:tcPr>
            <w:tcW w:w="1792" w:type="dxa"/>
            <w:tcBorders>
              <w:top w:val="single" w:sz="4" w:space="0" w:color="auto"/>
              <w:left w:val="nil"/>
              <w:bottom w:val="double" w:sz="6" w:space="0" w:color="auto"/>
              <w:right w:val="nil"/>
            </w:tcBorders>
            <w:shd w:val="clear" w:color="auto" w:fill="auto"/>
            <w:noWrap/>
            <w:vAlign w:val="bottom"/>
            <w:hideMark/>
          </w:tcPr>
          <w:p w:rsidR="005E7EDE" w:rsidRDefault="005E7EDE">
            <w:pPr>
              <w:jc w:val="right"/>
              <w:rPr>
                <w:rFonts w:ascii="Tahoma" w:hAnsi="Tahoma" w:cs="Tahoma"/>
                <w:b/>
                <w:bCs/>
                <w:sz w:val="18"/>
                <w:szCs w:val="18"/>
              </w:rPr>
            </w:pPr>
            <w:r>
              <w:rPr>
                <w:rFonts w:ascii="Tahoma" w:hAnsi="Tahoma" w:cs="Tahoma"/>
                <w:b/>
                <w:bCs/>
                <w:sz w:val="18"/>
                <w:szCs w:val="18"/>
              </w:rPr>
              <w:t>1.508,08</w:t>
            </w:r>
          </w:p>
        </w:tc>
        <w:tc>
          <w:tcPr>
            <w:tcW w:w="1772" w:type="dxa"/>
            <w:tcBorders>
              <w:top w:val="single" w:sz="4" w:space="0" w:color="auto"/>
              <w:left w:val="nil"/>
              <w:bottom w:val="double" w:sz="6" w:space="0" w:color="auto"/>
              <w:right w:val="nil"/>
            </w:tcBorders>
            <w:shd w:val="clear" w:color="auto" w:fill="auto"/>
            <w:noWrap/>
            <w:vAlign w:val="bottom"/>
            <w:hideMark/>
          </w:tcPr>
          <w:p w:rsidR="005E7EDE" w:rsidRDefault="005E7EDE">
            <w:pPr>
              <w:jc w:val="right"/>
              <w:rPr>
                <w:rFonts w:ascii="Tahoma" w:hAnsi="Tahoma" w:cs="Tahoma"/>
                <w:b/>
                <w:bCs/>
                <w:sz w:val="18"/>
                <w:szCs w:val="18"/>
              </w:rPr>
            </w:pPr>
            <w:r>
              <w:rPr>
                <w:rFonts w:ascii="Tahoma" w:hAnsi="Tahoma" w:cs="Tahoma"/>
                <w:b/>
                <w:bCs/>
                <w:sz w:val="18"/>
                <w:szCs w:val="18"/>
              </w:rPr>
              <w:t>1.135,37</w:t>
            </w:r>
          </w:p>
        </w:tc>
      </w:tr>
    </w:tbl>
    <w:p w:rsidR="007F7D79" w:rsidRPr="00485A4C" w:rsidRDefault="007F7D79" w:rsidP="001667DF">
      <w:pPr>
        <w:spacing w:line="360" w:lineRule="auto"/>
        <w:ind w:left="-426"/>
        <w:jc w:val="both"/>
        <w:rPr>
          <w:rFonts w:ascii="Tahoma" w:hAnsi="Tahoma" w:cs="Tahoma"/>
          <w:bCs/>
          <w:color w:val="000000"/>
          <w:sz w:val="22"/>
          <w:szCs w:val="22"/>
        </w:rPr>
      </w:pPr>
    </w:p>
    <w:p w:rsidR="009675AA" w:rsidRPr="00485A4C" w:rsidRDefault="009675AA" w:rsidP="007F7D79">
      <w:pPr>
        <w:spacing w:line="360" w:lineRule="auto"/>
        <w:ind w:left="-993"/>
        <w:jc w:val="both"/>
        <w:rPr>
          <w:rFonts w:ascii="Tahoma" w:hAnsi="Tahoma" w:cs="Tahoma"/>
          <w:sz w:val="22"/>
          <w:szCs w:val="22"/>
        </w:rPr>
      </w:pPr>
    </w:p>
    <w:p w:rsidR="00480197" w:rsidRPr="00485A4C" w:rsidRDefault="005D64C9" w:rsidP="00480197">
      <w:pPr>
        <w:pStyle w:val="Heading2"/>
        <w:ind w:left="-540"/>
        <w:rPr>
          <w:rFonts w:ascii="Tahoma" w:hAnsi="Tahoma" w:cs="Tahoma"/>
          <w:i w:val="0"/>
          <w:sz w:val="22"/>
          <w:szCs w:val="22"/>
        </w:rPr>
      </w:pPr>
      <w:bookmarkStart w:id="64" w:name="_Toc178753453"/>
      <w:bookmarkStart w:id="65" w:name="_Toc526260622"/>
      <w:r w:rsidRPr="00485A4C">
        <w:rPr>
          <w:rFonts w:ascii="Tahoma" w:hAnsi="Tahoma" w:cs="Tahoma"/>
          <w:i w:val="0"/>
          <w:sz w:val="22"/>
          <w:szCs w:val="22"/>
          <w:lang w:val="el-GR"/>
        </w:rPr>
        <w:t>7</w:t>
      </w:r>
      <w:r w:rsidR="00480197" w:rsidRPr="00485A4C">
        <w:rPr>
          <w:rFonts w:ascii="Tahoma" w:hAnsi="Tahoma" w:cs="Tahoma"/>
          <w:i w:val="0"/>
          <w:sz w:val="22"/>
          <w:szCs w:val="22"/>
        </w:rPr>
        <w:t>.2</w:t>
      </w:r>
      <w:r w:rsidR="00FF431D" w:rsidRPr="00485A4C">
        <w:rPr>
          <w:rFonts w:ascii="Tahoma" w:hAnsi="Tahoma" w:cs="Tahoma"/>
          <w:i w:val="0"/>
          <w:sz w:val="22"/>
          <w:szCs w:val="22"/>
          <w:lang w:val="el-GR"/>
        </w:rPr>
        <w:t>1</w:t>
      </w:r>
      <w:r w:rsidR="00480197" w:rsidRPr="00485A4C">
        <w:rPr>
          <w:rFonts w:ascii="Tahoma" w:hAnsi="Tahoma" w:cs="Tahoma"/>
          <w:i w:val="0"/>
          <w:sz w:val="22"/>
          <w:szCs w:val="22"/>
        </w:rPr>
        <w:t>. Φόρος Εισοδήματος</w:t>
      </w:r>
      <w:bookmarkEnd w:id="64"/>
      <w:bookmarkEnd w:id="65"/>
    </w:p>
    <w:p w:rsidR="00480197" w:rsidRPr="00485A4C" w:rsidRDefault="00480197" w:rsidP="00480197">
      <w:pPr>
        <w:ind w:left="-540"/>
        <w:rPr>
          <w:rFonts w:ascii="Tahoma" w:hAnsi="Tahoma" w:cs="Tahoma"/>
          <w:sz w:val="22"/>
          <w:szCs w:val="22"/>
        </w:rPr>
      </w:pPr>
    </w:p>
    <w:p w:rsidR="00480197" w:rsidRPr="00485A4C" w:rsidRDefault="00480197" w:rsidP="00891CAF">
      <w:pPr>
        <w:spacing w:line="360" w:lineRule="auto"/>
        <w:ind w:left="-539"/>
        <w:jc w:val="both"/>
        <w:rPr>
          <w:rFonts w:ascii="Tahoma" w:hAnsi="Tahoma" w:cs="Tahoma"/>
          <w:sz w:val="22"/>
          <w:szCs w:val="22"/>
        </w:rPr>
      </w:pPr>
      <w:r w:rsidRPr="00485A4C">
        <w:rPr>
          <w:rFonts w:ascii="Tahoma" w:hAnsi="Tahoma" w:cs="Tahoma"/>
          <w:sz w:val="22"/>
          <w:szCs w:val="22"/>
        </w:rPr>
        <w:t xml:space="preserve">Κατωτέρω παρατίθενται πίνακας με το φόρο εισοδήματος περιόδου </w:t>
      </w:r>
      <w:r w:rsidR="000251D7" w:rsidRPr="00485A4C">
        <w:rPr>
          <w:rFonts w:ascii="Tahoma" w:hAnsi="Tahoma" w:cs="Tahoma"/>
          <w:sz w:val="22"/>
          <w:szCs w:val="22"/>
        </w:rPr>
        <w:t>01.01.1</w:t>
      </w:r>
      <w:r w:rsidR="005E7EDE">
        <w:rPr>
          <w:rFonts w:ascii="Tahoma" w:hAnsi="Tahoma" w:cs="Tahoma"/>
          <w:sz w:val="22"/>
          <w:szCs w:val="22"/>
        </w:rPr>
        <w:t>8</w:t>
      </w:r>
      <w:r w:rsidR="000251D7" w:rsidRPr="00485A4C">
        <w:rPr>
          <w:rFonts w:ascii="Tahoma" w:hAnsi="Tahoma" w:cs="Tahoma"/>
          <w:sz w:val="22"/>
          <w:szCs w:val="22"/>
        </w:rPr>
        <w:t xml:space="preserve"> έως 31.12.1</w:t>
      </w:r>
      <w:r w:rsidR="005E7EDE">
        <w:rPr>
          <w:rFonts w:ascii="Tahoma" w:hAnsi="Tahoma" w:cs="Tahoma"/>
          <w:sz w:val="22"/>
          <w:szCs w:val="22"/>
        </w:rPr>
        <w:t>8</w:t>
      </w:r>
      <w:r w:rsidRPr="00485A4C">
        <w:rPr>
          <w:rFonts w:ascii="Tahoma" w:hAnsi="Tahoma" w:cs="Tahoma"/>
          <w:sz w:val="22"/>
          <w:szCs w:val="22"/>
        </w:rPr>
        <w:t xml:space="preserve"> και περιόδου </w:t>
      </w:r>
      <w:r w:rsidR="000251D7" w:rsidRPr="00485A4C">
        <w:rPr>
          <w:rFonts w:ascii="Tahoma" w:hAnsi="Tahoma" w:cs="Tahoma"/>
          <w:sz w:val="22"/>
          <w:szCs w:val="22"/>
        </w:rPr>
        <w:t>01.01.1</w:t>
      </w:r>
      <w:r w:rsidR="005E7EDE">
        <w:rPr>
          <w:rFonts w:ascii="Tahoma" w:hAnsi="Tahoma" w:cs="Tahoma"/>
          <w:sz w:val="22"/>
          <w:szCs w:val="22"/>
        </w:rPr>
        <w:t>7</w:t>
      </w:r>
      <w:r w:rsidR="000251D7" w:rsidRPr="00485A4C">
        <w:rPr>
          <w:rFonts w:ascii="Tahoma" w:hAnsi="Tahoma" w:cs="Tahoma"/>
          <w:sz w:val="22"/>
          <w:szCs w:val="22"/>
        </w:rPr>
        <w:t xml:space="preserve"> έως 31.12.1</w:t>
      </w:r>
      <w:r w:rsidR="005E7EDE">
        <w:rPr>
          <w:rFonts w:ascii="Tahoma" w:hAnsi="Tahoma" w:cs="Tahoma"/>
          <w:sz w:val="22"/>
          <w:szCs w:val="22"/>
        </w:rPr>
        <w:t>7</w:t>
      </w:r>
      <w:r w:rsidRPr="00485A4C">
        <w:rPr>
          <w:rFonts w:ascii="Tahoma" w:hAnsi="Tahoma" w:cs="Tahoma"/>
          <w:sz w:val="22"/>
          <w:szCs w:val="22"/>
        </w:rPr>
        <w:t xml:space="preserve">. </w:t>
      </w:r>
    </w:p>
    <w:p w:rsidR="00A16F29" w:rsidRDefault="00A16F29" w:rsidP="001667DF">
      <w:pPr>
        <w:spacing w:line="360" w:lineRule="auto"/>
        <w:ind w:left="-426"/>
        <w:jc w:val="both"/>
        <w:rPr>
          <w:rFonts w:ascii="Tahoma" w:hAnsi="Tahoma" w:cs="Tahoma"/>
          <w:sz w:val="22"/>
          <w:szCs w:val="22"/>
          <w:lang w:val="en-US"/>
        </w:rPr>
      </w:pPr>
      <w:bookmarkStart w:id="66" w:name="_Toc178753454"/>
    </w:p>
    <w:p w:rsidR="005E7EDE" w:rsidRDefault="005E7EDE" w:rsidP="001667DF">
      <w:pPr>
        <w:spacing w:line="360" w:lineRule="auto"/>
        <w:ind w:left="-426"/>
        <w:jc w:val="both"/>
        <w:rPr>
          <w:rFonts w:ascii="Tahoma" w:hAnsi="Tahoma" w:cs="Tahoma"/>
          <w:sz w:val="22"/>
          <w:szCs w:val="22"/>
          <w:lang w:val="en-US"/>
        </w:rPr>
      </w:pPr>
    </w:p>
    <w:p w:rsidR="005E7EDE" w:rsidRDefault="005E7EDE" w:rsidP="001667DF">
      <w:pPr>
        <w:spacing w:line="360" w:lineRule="auto"/>
        <w:ind w:left="-426"/>
        <w:jc w:val="both"/>
        <w:rPr>
          <w:rFonts w:ascii="Tahoma" w:hAnsi="Tahoma" w:cs="Tahoma"/>
          <w:sz w:val="22"/>
          <w:szCs w:val="22"/>
          <w:lang w:val="en-US"/>
        </w:rPr>
      </w:pPr>
    </w:p>
    <w:p w:rsidR="005E7EDE" w:rsidRDefault="005E7EDE" w:rsidP="001667DF">
      <w:pPr>
        <w:spacing w:line="360" w:lineRule="auto"/>
        <w:ind w:left="-426"/>
        <w:jc w:val="both"/>
        <w:rPr>
          <w:rFonts w:ascii="Tahoma" w:hAnsi="Tahoma" w:cs="Tahoma"/>
          <w:sz w:val="22"/>
          <w:szCs w:val="22"/>
          <w:lang w:val="en-US"/>
        </w:rPr>
      </w:pPr>
    </w:p>
    <w:tbl>
      <w:tblPr>
        <w:tblW w:w="8432" w:type="dxa"/>
        <w:tblInd w:w="-567" w:type="dxa"/>
        <w:tblLook w:val="04A0" w:firstRow="1" w:lastRow="0" w:firstColumn="1" w:lastColumn="0" w:noHBand="0" w:noVBand="1"/>
      </w:tblPr>
      <w:tblGrid>
        <w:gridCol w:w="4820"/>
        <w:gridCol w:w="1816"/>
        <w:gridCol w:w="1796"/>
      </w:tblGrid>
      <w:tr w:rsidR="005E7EDE" w:rsidTr="005E7EDE">
        <w:trPr>
          <w:trHeight w:val="264"/>
        </w:trPr>
        <w:tc>
          <w:tcPr>
            <w:tcW w:w="4820" w:type="dxa"/>
            <w:tcBorders>
              <w:top w:val="nil"/>
              <w:left w:val="nil"/>
              <w:bottom w:val="nil"/>
              <w:right w:val="nil"/>
            </w:tcBorders>
            <w:shd w:val="clear" w:color="000000" w:fill="E6E6E6"/>
            <w:noWrap/>
            <w:vAlign w:val="bottom"/>
            <w:hideMark/>
          </w:tcPr>
          <w:p w:rsidR="005E7EDE" w:rsidRDefault="005E7EDE">
            <w:pPr>
              <w:rPr>
                <w:rFonts w:ascii="Tahoma" w:hAnsi="Tahoma" w:cs="Tahoma"/>
                <w:b/>
                <w:bCs/>
                <w:sz w:val="18"/>
                <w:szCs w:val="18"/>
              </w:rPr>
            </w:pPr>
            <w:r>
              <w:rPr>
                <w:rFonts w:ascii="Tahoma" w:hAnsi="Tahoma" w:cs="Tahoma"/>
                <w:b/>
                <w:bCs/>
                <w:sz w:val="18"/>
                <w:szCs w:val="18"/>
              </w:rPr>
              <w:t> </w:t>
            </w:r>
          </w:p>
        </w:tc>
        <w:tc>
          <w:tcPr>
            <w:tcW w:w="1816" w:type="dxa"/>
            <w:tcBorders>
              <w:top w:val="nil"/>
              <w:left w:val="nil"/>
              <w:bottom w:val="nil"/>
              <w:right w:val="nil"/>
            </w:tcBorders>
            <w:shd w:val="clear" w:color="000000" w:fill="E6E6E6"/>
            <w:noWrap/>
            <w:vAlign w:val="bottom"/>
            <w:hideMark/>
          </w:tcPr>
          <w:p w:rsidR="005E7EDE" w:rsidRDefault="005E7EDE">
            <w:pPr>
              <w:jc w:val="center"/>
              <w:rPr>
                <w:rFonts w:ascii="Tahoma" w:hAnsi="Tahoma" w:cs="Tahoma"/>
                <w:b/>
                <w:bCs/>
                <w:sz w:val="18"/>
                <w:szCs w:val="18"/>
              </w:rPr>
            </w:pPr>
            <w:r>
              <w:rPr>
                <w:rFonts w:ascii="Tahoma" w:hAnsi="Tahoma" w:cs="Tahoma"/>
                <w:b/>
                <w:bCs/>
                <w:sz w:val="18"/>
                <w:szCs w:val="18"/>
              </w:rPr>
              <w:t>31.12.2018</w:t>
            </w:r>
          </w:p>
        </w:tc>
        <w:tc>
          <w:tcPr>
            <w:tcW w:w="1796" w:type="dxa"/>
            <w:tcBorders>
              <w:top w:val="nil"/>
              <w:left w:val="nil"/>
              <w:bottom w:val="nil"/>
              <w:right w:val="nil"/>
            </w:tcBorders>
            <w:shd w:val="clear" w:color="000000" w:fill="E6E6E6"/>
            <w:noWrap/>
            <w:vAlign w:val="bottom"/>
            <w:hideMark/>
          </w:tcPr>
          <w:p w:rsidR="005E7EDE" w:rsidRDefault="005E7EDE">
            <w:pPr>
              <w:jc w:val="center"/>
              <w:rPr>
                <w:rFonts w:ascii="Tahoma" w:hAnsi="Tahoma" w:cs="Tahoma"/>
                <w:b/>
                <w:bCs/>
                <w:sz w:val="18"/>
                <w:szCs w:val="18"/>
              </w:rPr>
            </w:pPr>
            <w:r>
              <w:rPr>
                <w:rFonts w:ascii="Tahoma" w:hAnsi="Tahoma" w:cs="Tahoma"/>
                <w:b/>
                <w:bCs/>
                <w:sz w:val="18"/>
                <w:szCs w:val="18"/>
              </w:rPr>
              <w:t>31.12.2017</w:t>
            </w:r>
          </w:p>
        </w:tc>
      </w:tr>
      <w:tr w:rsidR="005E7EDE" w:rsidTr="005E7EDE">
        <w:trPr>
          <w:trHeight w:val="360"/>
        </w:trPr>
        <w:tc>
          <w:tcPr>
            <w:tcW w:w="4820" w:type="dxa"/>
            <w:tcBorders>
              <w:top w:val="nil"/>
              <w:left w:val="nil"/>
              <w:bottom w:val="nil"/>
              <w:right w:val="nil"/>
            </w:tcBorders>
            <w:shd w:val="clear" w:color="auto" w:fill="auto"/>
            <w:noWrap/>
            <w:vAlign w:val="bottom"/>
            <w:hideMark/>
          </w:tcPr>
          <w:p w:rsidR="005E7EDE" w:rsidRDefault="005E7EDE">
            <w:pPr>
              <w:rPr>
                <w:rFonts w:ascii="Tahoma" w:hAnsi="Tahoma" w:cs="Tahoma"/>
                <w:color w:val="000000"/>
                <w:sz w:val="18"/>
                <w:szCs w:val="18"/>
              </w:rPr>
            </w:pPr>
            <w:r>
              <w:rPr>
                <w:rFonts w:ascii="Tahoma" w:hAnsi="Tahoma" w:cs="Tahoma"/>
                <w:color w:val="000000"/>
                <w:sz w:val="18"/>
                <w:szCs w:val="18"/>
              </w:rPr>
              <w:t>Φόρος εισοδήματος αποτελεσμάτων χρήσης</w:t>
            </w:r>
          </w:p>
        </w:tc>
        <w:tc>
          <w:tcPr>
            <w:tcW w:w="1816"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147.312,91</w:t>
            </w:r>
          </w:p>
        </w:tc>
        <w:tc>
          <w:tcPr>
            <w:tcW w:w="1796"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177.080,12</w:t>
            </w:r>
          </w:p>
        </w:tc>
      </w:tr>
      <w:tr w:rsidR="005E7EDE" w:rsidTr="005E7EDE">
        <w:trPr>
          <w:trHeight w:val="360"/>
        </w:trPr>
        <w:tc>
          <w:tcPr>
            <w:tcW w:w="4820" w:type="dxa"/>
            <w:tcBorders>
              <w:top w:val="nil"/>
              <w:left w:val="nil"/>
              <w:bottom w:val="nil"/>
              <w:right w:val="nil"/>
            </w:tcBorders>
            <w:shd w:val="clear" w:color="auto" w:fill="auto"/>
            <w:noWrap/>
            <w:vAlign w:val="bottom"/>
            <w:hideMark/>
          </w:tcPr>
          <w:p w:rsidR="005E7EDE" w:rsidRDefault="005E7EDE">
            <w:pPr>
              <w:rPr>
                <w:rFonts w:ascii="Tahoma" w:hAnsi="Tahoma" w:cs="Tahoma"/>
                <w:color w:val="000000"/>
                <w:sz w:val="18"/>
                <w:szCs w:val="18"/>
              </w:rPr>
            </w:pPr>
            <w:r>
              <w:rPr>
                <w:rFonts w:ascii="Tahoma" w:hAnsi="Tahoma" w:cs="Tahoma"/>
                <w:color w:val="000000"/>
                <w:sz w:val="18"/>
                <w:szCs w:val="18"/>
              </w:rPr>
              <w:t>Αναβαλλόμενος φόρος χρήσης</w:t>
            </w:r>
          </w:p>
        </w:tc>
        <w:tc>
          <w:tcPr>
            <w:tcW w:w="1816"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 xml:space="preserve">               (1.444,17)</w:t>
            </w:r>
          </w:p>
        </w:tc>
        <w:tc>
          <w:tcPr>
            <w:tcW w:w="1796" w:type="dxa"/>
            <w:tcBorders>
              <w:top w:val="nil"/>
              <w:left w:val="nil"/>
              <w:bottom w:val="nil"/>
              <w:right w:val="nil"/>
            </w:tcBorders>
            <w:shd w:val="clear" w:color="auto" w:fill="auto"/>
            <w:noWrap/>
            <w:vAlign w:val="bottom"/>
            <w:hideMark/>
          </w:tcPr>
          <w:p w:rsidR="005E7EDE" w:rsidRDefault="005E7EDE" w:rsidP="005E7EDE">
            <w:pPr>
              <w:jc w:val="right"/>
              <w:rPr>
                <w:rFonts w:ascii="Tahoma" w:hAnsi="Tahoma" w:cs="Tahoma"/>
                <w:sz w:val="18"/>
                <w:szCs w:val="18"/>
              </w:rPr>
            </w:pPr>
            <w:r>
              <w:rPr>
                <w:rFonts w:ascii="Tahoma" w:hAnsi="Tahoma" w:cs="Tahoma"/>
                <w:sz w:val="18"/>
                <w:szCs w:val="18"/>
              </w:rPr>
              <w:t xml:space="preserve">              (4.352,67)</w:t>
            </w:r>
          </w:p>
        </w:tc>
      </w:tr>
      <w:tr w:rsidR="005E7EDE" w:rsidTr="005E7EDE">
        <w:trPr>
          <w:trHeight w:val="360"/>
        </w:trPr>
        <w:tc>
          <w:tcPr>
            <w:tcW w:w="4820" w:type="dxa"/>
            <w:tcBorders>
              <w:top w:val="nil"/>
              <w:left w:val="nil"/>
              <w:bottom w:val="nil"/>
              <w:right w:val="nil"/>
            </w:tcBorders>
            <w:shd w:val="clear" w:color="auto" w:fill="auto"/>
            <w:noWrap/>
            <w:vAlign w:val="bottom"/>
            <w:hideMark/>
          </w:tcPr>
          <w:p w:rsidR="005E7EDE" w:rsidRDefault="005E7EDE">
            <w:pPr>
              <w:rPr>
                <w:rFonts w:ascii="Tahoma" w:hAnsi="Tahoma" w:cs="Tahoma"/>
                <w:sz w:val="18"/>
                <w:szCs w:val="18"/>
              </w:rPr>
            </w:pPr>
            <w:r>
              <w:rPr>
                <w:rFonts w:ascii="Tahoma" w:hAnsi="Tahoma" w:cs="Tahoma"/>
                <w:sz w:val="18"/>
                <w:szCs w:val="18"/>
              </w:rPr>
              <w:t> </w:t>
            </w:r>
            <w:r>
              <w:rPr>
                <w:rFonts w:ascii="Tahoma" w:hAnsi="Tahoma" w:cs="Tahoma"/>
                <w:b/>
                <w:bCs/>
                <w:sz w:val="18"/>
                <w:szCs w:val="18"/>
              </w:rPr>
              <w:t>Σύνολο</w:t>
            </w:r>
          </w:p>
        </w:tc>
        <w:tc>
          <w:tcPr>
            <w:tcW w:w="1816" w:type="dxa"/>
            <w:tcBorders>
              <w:top w:val="single" w:sz="4" w:space="0" w:color="auto"/>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 xml:space="preserve">            145.868,74 </w:t>
            </w:r>
          </w:p>
        </w:tc>
        <w:tc>
          <w:tcPr>
            <w:tcW w:w="1796" w:type="dxa"/>
            <w:tcBorders>
              <w:top w:val="single" w:sz="4" w:space="0" w:color="auto"/>
              <w:left w:val="nil"/>
              <w:bottom w:val="double" w:sz="6" w:space="0" w:color="auto"/>
              <w:right w:val="nil"/>
            </w:tcBorders>
            <w:shd w:val="clear" w:color="auto" w:fill="auto"/>
            <w:noWrap/>
            <w:vAlign w:val="bottom"/>
            <w:hideMark/>
          </w:tcPr>
          <w:p w:rsidR="005E7EDE" w:rsidRDefault="005E7EDE" w:rsidP="005E7EDE">
            <w:pPr>
              <w:jc w:val="right"/>
              <w:rPr>
                <w:rFonts w:ascii="Tahoma" w:hAnsi="Tahoma" w:cs="Tahoma"/>
                <w:b/>
                <w:bCs/>
                <w:sz w:val="18"/>
                <w:szCs w:val="18"/>
              </w:rPr>
            </w:pPr>
            <w:r>
              <w:rPr>
                <w:rFonts w:ascii="Tahoma" w:hAnsi="Tahoma" w:cs="Tahoma"/>
                <w:b/>
                <w:bCs/>
                <w:sz w:val="18"/>
                <w:szCs w:val="18"/>
              </w:rPr>
              <w:t xml:space="preserve">            172.727,45 </w:t>
            </w:r>
          </w:p>
        </w:tc>
      </w:tr>
    </w:tbl>
    <w:p w:rsidR="005E7EDE" w:rsidRDefault="005E7EDE" w:rsidP="001667DF">
      <w:pPr>
        <w:spacing w:line="360" w:lineRule="auto"/>
        <w:ind w:left="-426"/>
        <w:jc w:val="both"/>
        <w:rPr>
          <w:rFonts w:ascii="Tahoma" w:hAnsi="Tahoma" w:cs="Tahoma"/>
          <w:sz w:val="22"/>
          <w:szCs w:val="22"/>
          <w:lang w:val="en-US"/>
        </w:rPr>
      </w:pPr>
    </w:p>
    <w:p w:rsidR="005E7EDE" w:rsidRDefault="005E7EDE" w:rsidP="001667DF">
      <w:pPr>
        <w:spacing w:line="360" w:lineRule="auto"/>
        <w:ind w:left="-426"/>
        <w:jc w:val="both"/>
        <w:rPr>
          <w:rFonts w:ascii="Tahoma" w:hAnsi="Tahoma" w:cs="Tahoma"/>
          <w:sz w:val="22"/>
          <w:szCs w:val="22"/>
          <w:lang w:val="en-US"/>
        </w:rPr>
      </w:pPr>
    </w:p>
    <w:p w:rsidR="005E7EDE" w:rsidRDefault="005E7EDE" w:rsidP="001667DF">
      <w:pPr>
        <w:spacing w:line="360" w:lineRule="auto"/>
        <w:ind w:left="-426"/>
        <w:jc w:val="both"/>
        <w:rPr>
          <w:rFonts w:ascii="Tahoma" w:hAnsi="Tahoma" w:cs="Tahoma"/>
          <w:sz w:val="22"/>
          <w:szCs w:val="22"/>
          <w:lang w:val="en-US"/>
        </w:rPr>
      </w:pPr>
    </w:p>
    <w:p w:rsidR="005E7EDE" w:rsidRPr="00485A4C" w:rsidRDefault="005E7EDE" w:rsidP="001667DF">
      <w:pPr>
        <w:spacing w:line="360" w:lineRule="auto"/>
        <w:ind w:left="-426"/>
        <w:jc w:val="both"/>
        <w:rPr>
          <w:rFonts w:ascii="Tahoma" w:hAnsi="Tahoma" w:cs="Tahoma"/>
          <w:bCs/>
          <w:color w:val="000000"/>
          <w:sz w:val="22"/>
          <w:szCs w:val="22"/>
        </w:rPr>
      </w:pPr>
    </w:p>
    <w:p w:rsidR="00A36AF0" w:rsidRPr="00485A4C" w:rsidRDefault="00A36AF0" w:rsidP="00A16F29">
      <w:pPr>
        <w:spacing w:line="360" w:lineRule="auto"/>
        <w:ind w:left="-709"/>
        <w:jc w:val="both"/>
        <w:rPr>
          <w:rFonts w:ascii="Tahoma" w:hAnsi="Tahoma" w:cs="Tahoma"/>
          <w:bCs/>
          <w:color w:val="000000"/>
          <w:sz w:val="22"/>
          <w:szCs w:val="22"/>
        </w:rPr>
      </w:pPr>
      <w:r w:rsidRPr="00485A4C">
        <w:rPr>
          <w:rFonts w:ascii="Tahoma" w:hAnsi="Tahoma" w:cs="Tahoma"/>
          <w:bCs/>
          <w:color w:val="000000"/>
          <w:sz w:val="22"/>
          <w:szCs w:val="22"/>
        </w:rPr>
        <w:t>Η ανάλυση του φόρου εισοδήματος που αντιστοιχεί στα αποτελέσματα χρήσης είναι:</w:t>
      </w:r>
    </w:p>
    <w:p w:rsidR="000267B7" w:rsidRDefault="000267B7" w:rsidP="001667DF">
      <w:pPr>
        <w:ind w:left="-426"/>
        <w:rPr>
          <w:rFonts w:ascii="Tahoma" w:hAnsi="Tahoma" w:cs="Tahoma"/>
          <w:sz w:val="22"/>
          <w:szCs w:val="22"/>
          <w:lang w:val="en-US"/>
        </w:rPr>
      </w:pPr>
    </w:p>
    <w:p w:rsidR="005E7EDE" w:rsidRDefault="005E7EDE" w:rsidP="001667DF">
      <w:pPr>
        <w:ind w:left="-426"/>
        <w:rPr>
          <w:rFonts w:ascii="Tahoma" w:hAnsi="Tahoma" w:cs="Tahoma"/>
          <w:sz w:val="22"/>
          <w:szCs w:val="22"/>
          <w:lang w:val="en-US"/>
        </w:rPr>
      </w:pPr>
    </w:p>
    <w:tbl>
      <w:tblPr>
        <w:tblW w:w="9308" w:type="dxa"/>
        <w:tblInd w:w="-851" w:type="dxa"/>
        <w:tblLook w:val="04A0" w:firstRow="1" w:lastRow="0" w:firstColumn="1" w:lastColumn="0" w:noHBand="0" w:noVBand="1"/>
      </w:tblPr>
      <w:tblGrid>
        <w:gridCol w:w="5696"/>
        <w:gridCol w:w="1816"/>
        <w:gridCol w:w="1796"/>
      </w:tblGrid>
      <w:tr w:rsidR="005E7EDE" w:rsidTr="005E7EDE">
        <w:trPr>
          <w:trHeight w:val="264"/>
        </w:trPr>
        <w:tc>
          <w:tcPr>
            <w:tcW w:w="5696" w:type="dxa"/>
            <w:tcBorders>
              <w:top w:val="nil"/>
              <w:left w:val="nil"/>
              <w:bottom w:val="nil"/>
              <w:right w:val="nil"/>
            </w:tcBorders>
            <w:shd w:val="clear" w:color="000000" w:fill="E6E6E6"/>
            <w:noWrap/>
            <w:vAlign w:val="bottom"/>
            <w:hideMark/>
          </w:tcPr>
          <w:p w:rsidR="005E7EDE" w:rsidRDefault="005E7EDE">
            <w:pPr>
              <w:rPr>
                <w:rFonts w:ascii="Tahoma" w:hAnsi="Tahoma" w:cs="Tahoma"/>
                <w:b/>
                <w:bCs/>
                <w:sz w:val="18"/>
                <w:szCs w:val="18"/>
              </w:rPr>
            </w:pPr>
            <w:r>
              <w:rPr>
                <w:rFonts w:ascii="Tahoma" w:hAnsi="Tahoma" w:cs="Tahoma"/>
                <w:b/>
                <w:bCs/>
                <w:sz w:val="18"/>
                <w:szCs w:val="18"/>
              </w:rPr>
              <w:t> </w:t>
            </w:r>
          </w:p>
        </w:tc>
        <w:tc>
          <w:tcPr>
            <w:tcW w:w="1816" w:type="dxa"/>
            <w:tcBorders>
              <w:top w:val="nil"/>
              <w:left w:val="nil"/>
              <w:bottom w:val="nil"/>
              <w:right w:val="nil"/>
            </w:tcBorders>
            <w:shd w:val="clear" w:color="000000" w:fill="E6E6E6"/>
            <w:noWrap/>
            <w:vAlign w:val="bottom"/>
            <w:hideMark/>
          </w:tcPr>
          <w:p w:rsidR="005E7EDE" w:rsidRDefault="005E7EDE">
            <w:pPr>
              <w:jc w:val="center"/>
              <w:rPr>
                <w:rFonts w:ascii="Tahoma" w:hAnsi="Tahoma" w:cs="Tahoma"/>
                <w:b/>
                <w:bCs/>
                <w:sz w:val="18"/>
                <w:szCs w:val="18"/>
              </w:rPr>
            </w:pPr>
            <w:r>
              <w:rPr>
                <w:rFonts w:ascii="Tahoma" w:hAnsi="Tahoma" w:cs="Tahoma"/>
                <w:b/>
                <w:bCs/>
                <w:sz w:val="18"/>
                <w:szCs w:val="18"/>
              </w:rPr>
              <w:t>31.12.2018</w:t>
            </w:r>
          </w:p>
        </w:tc>
        <w:tc>
          <w:tcPr>
            <w:tcW w:w="1796" w:type="dxa"/>
            <w:tcBorders>
              <w:top w:val="nil"/>
              <w:left w:val="nil"/>
              <w:bottom w:val="nil"/>
              <w:right w:val="nil"/>
            </w:tcBorders>
            <w:shd w:val="clear" w:color="000000" w:fill="E6E6E6"/>
            <w:noWrap/>
            <w:vAlign w:val="bottom"/>
            <w:hideMark/>
          </w:tcPr>
          <w:p w:rsidR="005E7EDE" w:rsidRDefault="005E7EDE">
            <w:pPr>
              <w:jc w:val="center"/>
              <w:rPr>
                <w:rFonts w:ascii="Tahoma" w:hAnsi="Tahoma" w:cs="Tahoma"/>
                <w:b/>
                <w:bCs/>
                <w:sz w:val="18"/>
                <w:szCs w:val="18"/>
              </w:rPr>
            </w:pPr>
            <w:r>
              <w:rPr>
                <w:rFonts w:ascii="Tahoma" w:hAnsi="Tahoma" w:cs="Tahoma"/>
                <w:b/>
                <w:bCs/>
                <w:sz w:val="18"/>
                <w:szCs w:val="18"/>
              </w:rPr>
              <w:t>31.12.2017</w:t>
            </w:r>
          </w:p>
        </w:tc>
      </w:tr>
      <w:tr w:rsidR="005E7EDE" w:rsidTr="005E7EDE">
        <w:trPr>
          <w:trHeight w:val="264"/>
        </w:trPr>
        <w:tc>
          <w:tcPr>
            <w:tcW w:w="5696" w:type="dxa"/>
            <w:tcBorders>
              <w:top w:val="nil"/>
              <w:left w:val="nil"/>
              <w:bottom w:val="nil"/>
              <w:right w:val="nil"/>
            </w:tcBorders>
            <w:shd w:val="clear" w:color="auto" w:fill="auto"/>
            <w:noWrap/>
            <w:vAlign w:val="bottom"/>
            <w:hideMark/>
          </w:tcPr>
          <w:p w:rsidR="005E7EDE" w:rsidRDefault="005E7EDE">
            <w:pPr>
              <w:rPr>
                <w:rFonts w:ascii="Tahoma" w:hAnsi="Tahoma" w:cs="Tahoma"/>
                <w:b/>
                <w:bCs/>
                <w:color w:val="000000"/>
                <w:sz w:val="18"/>
                <w:szCs w:val="18"/>
              </w:rPr>
            </w:pPr>
            <w:r>
              <w:rPr>
                <w:rFonts w:ascii="Tahoma" w:hAnsi="Tahoma" w:cs="Tahoma"/>
                <w:b/>
                <w:bCs/>
                <w:color w:val="000000"/>
                <w:sz w:val="18"/>
                <w:szCs w:val="18"/>
              </w:rPr>
              <w:t>Ζημίες - Κέρδη προ φόρων βάσει Δ.Π.Χ.Α.</w:t>
            </w:r>
          </w:p>
        </w:tc>
        <w:tc>
          <w:tcPr>
            <w:tcW w:w="1816" w:type="dxa"/>
            <w:tcBorders>
              <w:top w:val="nil"/>
              <w:left w:val="nil"/>
              <w:bottom w:val="nil"/>
              <w:right w:val="nil"/>
            </w:tcBorders>
            <w:shd w:val="clear" w:color="auto" w:fill="auto"/>
            <w:noWrap/>
            <w:vAlign w:val="bottom"/>
            <w:hideMark/>
          </w:tcPr>
          <w:p w:rsidR="005E7EDE" w:rsidRDefault="005E7EDE" w:rsidP="00AD4468">
            <w:pPr>
              <w:jc w:val="right"/>
              <w:rPr>
                <w:rFonts w:ascii="Tahoma" w:hAnsi="Tahoma" w:cs="Tahoma"/>
                <w:b/>
                <w:bCs/>
                <w:sz w:val="18"/>
                <w:szCs w:val="18"/>
              </w:rPr>
            </w:pPr>
            <w:r>
              <w:rPr>
                <w:rFonts w:ascii="Tahoma" w:hAnsi="Tahoma" w:cs="Tahoma"/>
                <w:b/>
                <w:bCs/>
                <w:sz w:val="18"/>
                <w:szCs w:val="18"/>
              </w:rPr>
              <w:t>518.579,19</w:t>
            </w:r>
          </w:p>
        </w:tc>
        <w:tc>
          <w:tcPr>
            <w:tcW w:w="1796" w:type="dxa"/>
            <w:tcBorders>
              <w:top w:val="nil"/>
              <w:left w:val="nil"/>
              <w:bottom w:val="nil"/>
              <w:right w:val="nil"/>
            </w:tcBorders>
            <w:shd w:val="clear" w:color="auto" w:fill="auto"/>
            <w:noWrap/>
            <w:vAlign w:val="bottom"/>
            <w:hideMark/>
          </w:tcPr>
          <w:p w:rsidR="005E7EDE" w:rsidRDefault="005E7EDE" w:rsidP="00AD4468">
            <w:pPr>
              <w:jc w:val="right"/>
              <w:rPr>
                <w:rFonts w:ascii="Tahoma" w:hAnsi="Tahoma" w:cs="Tahoma"/>
                <w:b/>
                <w:bCs/>
                <w:sz w:val="18"/>
                <w:szCs w:val="18"/>
              </w:rPr>
            </w:pPr>
            <w:r>
              <w:rPr>
                <w:rFonts w:ascii="Tahoma" w:hAnsi="Tahoma" w:cs="Tahoma"/>
                <w:b/>
                <w:bCs/>
                <w:sz w:val="18"/>
                <w:szCs w:val="18"/>
              </w:rPr>
              <w:t>649.202,43</w:t>
            </w:r>
          </w:p>
        </w:tc>
      </w:tr>
      <w:tr w:rsidR="005E7EDE" w:rsidTr="005E7EDE">
        <w:trPr>
          <w:trHeight w:val="468"/>
        </w:trPr>
        <w:tc>
          <w:tcPr>
            <w:tcW w:w="5696" w:type="dxa"/>
            <w:tcBorders>
              <w:top w:val="nil"/>
              <w:left w:val="nil"/>
              <w:bottom w:val="nil"/>
              <w:right w:val="nil"/>
            </w:tcBorders>
            <w:shd w:val="clear" w:color="auto" w:fill="auto"/>
            <w:vAlign w:val="bottom"/>
            <w:hideMark/>
          </w:tcPr>
          <w:p w:rsidR="005E7EDE" w:rsidRDefault="005E7EDE">
            <w:pPr>
              <w:rPr>
                <w:rFonts w:ascii="Tahoma" w:hAnsi="Tahoma" w:cs="Tahoma"/>
                <w:color w:val="000000"/>
                <w:sz w:val="18"/>
                <w:szCs w:val="18"/>
              </w:rPr>
            </w:pPr>
            <w:r>
              <w:rPr>
                <w:rFonts w:ascii="Tahoma" w:hAnsi="Tahoma" w:cs="Tahoma"/>
                <w:color w:val="000000"/>
                <w:sz w:val="18"/>
                <w:szCs w:val="18"/>
              </w:rPr>
              <w:t>Φόρος υπολογισμένος με βάση τους ισχύοντες φορολογικούς συντελεστές</w:t>
            </w:r>
          </w:p>
        </w:tc>
        <w:tc>
          <w:tcPr>
            <w:tcW w:w="1816" w:type="dxa"/>
            <w:tcBorders>
              <w:top w:val="nil"/>
              <w:left w:val="nil"/>
              <w:bottom w:val="nil"/>
              <w:right w:val="nil"/>
            </w:tcBorders>
            <w:shd w:val="clear" w:color="auto" w:fill="auto"/>
            <w:noWrap/>
            <w:vAlign w:val="bottom"/>
            <w:hideMark/>
          </w:tcPr>
          <w:p w:rsidR="005E7EDE" w:rsidRDefault="005E7EDE" w:rsidP="00AD4468">
            <w:pPr>
              <w:jc w:val="right"/>
              <w:rPr>
                <w:rFonts w:ascii="Tahoma" w:hAnsi="Tahoma" w:cs="Tahoma"/>
                <w:sz w:val="18"/>
                <w:szCs w:val="18"/>
              </w:rPr>
            </w:pPr>
            <w:r>
              <w:rPr>
                <w:rFonts w:ascii="Tahoma" w:hAnsi="Tahoma" w:cs="Tahoma"/>
                <w:sz w:val="18"/>
                <w:szCs w:val="18"/>
              </w:rPr>
              <w:t>147.312,91</w:t>
            </w:r>
          </w:p>
        </w:tc>
        <w:tc>
          <w:tcPr>
            <w:tcW w:w="1796" w:type="dxa"/>
            <w:tcBorders>
              <w:top w:val="nil"/>
              <w:left w:val="nil"/>
              <w:bottom w:val="nil"/>
              <w:right w:val="nil"/>
            </w:tcBorders>
            <w:shd w:val="clear" w:color="auto" w:fill="auto"/>
            <w:noWrap/>
            <w:vAlign w:val="bottom"/>
            <w:hideMark/>
          </w:tcPr>
          <w:p w:rsidR="005E7EDE" w:rsidRDefault="005E7EDE" w:rsidP="00AD4468">
            <w:pPr>
              <w:jc w:val="right"/>
              <w:rPr>
                <w:rFonts w:ascii="Tahoma" w:hAnsi="Tahoma" w:cs="Tahoma"/>
                <w:sz w:val="18"/>
                <w:szCs w:val="18"/>
              </w:rPr>
            </w:pPr>
            <w:r>
              <w:rPr>
                <w:rFonts w:ascii="Tahoma" w:hAnsi="Tahoma" w:cs="Tahoma"/>
                <w:sz w:val="18"/>
                <w:szCs w:val="18"/>
              </w:rPr>
              <w:t>188.268,70</w:t>
            </w:r>
          </w:p>
        </w:tc>
      </w:tr>
      <w:tr w:rsidR="005E7EDE" w:rsidTr="005E7EDE">
        <w:trPr>
          <w:trHeight w:val="468"/>
        </w:trPr>
        <w:tc>
          <w:tcPr>
            <w:tcW w:w="5696" w:type="dxa"/>
            <w:tcBorders>
              <w:top w:val="nil"/>
              <w:left w:val="nil"/>
              <w:bottom w:val="nil"/>
              <w:right w:val="nil"/>
            </w:tcBorders>
            <w:shd w:val="clear" w:color="auto" w:fill="auto"/>
            <w:vAlign w:val="bottom"/>
            <w:hideMark/>
          </w:tcPr>
          <w:p w:rsidR="005E7EDE" w:rsidRDefault="005E7EDE">
            <w:pPr>
              <w:rPr>
                <w:rFonts w:ascii="Tahoma" w:hAnsi="Tahoma" w:cs="Tahoma"/>
                <w:color w:val="000000"/>
                <w:sz w:val="18"/>
                <w:szCs w:val="18"/>
              </w:rPr>
            </w:pPr>
            <w:r>
              <w:rPr>
                <w:rFonts w:ascii="Tahoma" w:hAnsi="Tahoma" w:cs="Tahoma"/>
                <w:color w:val="000000"/>
                <w:sz w:val="18"/>
                <w:szCs w:val="18"/>
              </w:rPr>
              <w:t>Φόροι από προσωρινές διαφορές λογιστικής &amp; φορολογικής βάσης δαπανών</w:t>
            </w:r>
          </w:p>
        </w:tc>
        <w:tc>
          <w:tcPr>
            <w:tcW w:w="1816" w:type="dxa"/>
            <w:tcBorders>
              <w:top w:val="nil"/>
              <w:left w:val="nil"/>
              <w:bottom w:val="nil"/>
              <w:right w:val="nil"/>
            </w:tcBorders>
            <w:shd w:val="clear" w:color="auto" w:fill="auto"/>
            <w:noWrap/>
            <w:vAlign w:val="bottom"/>
            <w:hideMark/>
          </w:tcPr>
          <w:p w:rsidR="005E7EDE" w:rsidRDefault="005E7EDE" w:rsidP="00AD4468">
            <w:pPr>
              <w:jc w:val="right"/>
              <w:rPr>
                <w:rFonts w:ascii="Tahoma" w:hAnsi="Tahoma" w:cs="Tahoma"/>
                <w:sz w:val="18"/>
                <w:szCs w:val="18"/>
              </w:rPr>
            </w:pPr>
            <w:r>
              <w:rPr>
                <w:rFonts w:ascii="Tahoma" w:hAnsi="Tahoma" w:cs="Tahoma"/>
                <w:sz w:val="18"/>
                <w:szCs w:val="18"/>
              </w:rPr>
              <w:t xml:space="preserve">               (1.444,17)</w:t>
            </w:r>
          </w:p>
        </w:tc>
        <w:tc>
          <w:tcPr>
            <w:tcW w:w="1796" w:type="dxa"/>
            <w:tcBorders>
              <w:top w:val="nil"/>
              <w:left w:val="nil"/>
              <w:bottom w:val="nil"/>
              <w:right w:val="nil"/>
            </w:tcBorders>
            <w:shd w:val="clear" w:color="auto" w:fill="auto"/>
            <w:noWrap/>
            <w:vAlign w:val="bottom"/>
            <w:hideMark/>
          </w:tcPr>
          <w:p w:rsidR="005E7EDE" w:rsidRDefault="005E7EDE" w:rsidP="00AD4468">
            <w:pPr>
              <w:jc w:val="right"/>
              <w:rPr>
                <w:rFonts w:ascii="Tahoma" w:hAnsi="Tahoma" w:cs="Tahoma"/>
                <w:sz w:val="18"/>
                <w:szCs w:val="18"/>
              </w:rPr>
            </w:pPr>
            <w:r>
              <w:rPr>
                <w:rFonts w:ascii="Tahoma" w:hAnsi="Tahoma" w:cs="Tahoma"/>
                <w:sz w:val="18"/>
                <w:szCs w:val="18"/>
              </w:rPr>
              <w:t xml:space="preserve">             (15.541,25)</w:t>
            </w:r>
          </w:p>
        </w:tc>
      </w:tr>
      <w:tr w:rsidR="005E7EDE" w:rsidTr="005E7EDE">
        <w:trPr>
          <w:trHeight w:val="402"/>
        </w:trPr>
        <w:tc>
          <w:tcPr>
            <w:tcW w:w="5696" w:type="dxa"/>
            <w:tcBorders>
              <w:top w:val="nil"/>
              <w:left w:val="nil"/>
              <w:bottom w:val="nil"/>
              <w:right w:val="nil"/>
            </w:tcBorders>
            <w:shd w:val="clear" w:color="auto" w:fill="auto"/>
            <w:noWrap/>
            <w:vAlign w:val="bottom"/>
            <w:hideMark/>
          </w:tcPr>
          <w:p w:rsidR="005E7EDE" w:rsidRDefault="005E7EDE">
            <w:pPr>
              <w:rPr>
                <w:rFonts w:ascii="Tahoma" w:hAnsi="Tahoma" w:cs="Tahoma"/>
                <w:b/>
                <w:bCs/>
                <w:sz w:val="18"/>
                <w:szCs w:val="18"/>
              </w:rPr>
            </w:pPr>
            <w:r>
              <w:rPr>
                <w:rFonts w:ascii="Tahoma" w:hAnsi="Tahoma" w:cs="Tahoma"/>
                <w:b/>
                <w:bCs/>
                <w:sz w:val="18"/>
                <w:szCs w:val="18"/>
              </w:rPr>
              <w:t>Φόροι περιόδου</w:t>
            </w:r>
          </w:p>
        </w:tc>
        <w:tc>
          <w:tcPr>
            <w:tcW w:w="1816" w:type="dxa"/>
            <w:tcBorders>
              <w:top w:val="single" w:sz="4" w:space="0" w:color="auto"/>
              <w:left w:val="nil"/>
              <w:bottom w:val="double" w:sz="6" w:space="0" w:color="auto"/>
              <w:right w:val="nil"/>
            </w:tcBorders>
            <w:shd w:val="clear" w:color="auto" w:fill="auto"/>
            <w:noWrap/>
            <w:vAlign w:val="bottom"/>
            <w:hideMark/>
          </w:tcPr>
          <w:p w:rsidR="005E7EDE" w:rsidRDefault="005E7EDE" w:rsidP="00AD4468">
            <w:pPr>
              <w:jc w:val="right"/>
              <w:rPr>
                <w:rFonts w:ascii="Tahoma" w:hAnsi="Tahoma" w:cs="Tahoma"/>
                <w:b/>
                <w:bCs/>
                <w:sz w:val="18"/>
                <w:szCs w:val="18"/>
              </w:rPr>
            </w:pPr>
            <w:r>
              <w:rPr>
                <w:rFonts w:ascii="Tahoma" w:hAnsi="Tahoma" w:cs="Tahoma"/>
                <w:b/>
                <w:bCs/>
                <w:sz w:val="18"/>
                <w:szCs w:val="18"/>
              </w:rPr>
              <w:t xml:space="preserve">            145.868,74 </w:t>
            </w:r>
          </w:p>
        </w:tc>
        <w:tc>
          <w:tcPr>
            <w:tcW w:w="1796" w:type="dxa"/>
            <w:tcBorders>
              <w:top w:val="single" w:sz="4" w:space="0" w:color="auto"/>
              <w:left w:val="nil"/>
              <w:bottom w:val="double" w:sz="6" w:space="0" w:color="auto"/>
              <w:right w:val="nil"/>
            </w:tcBorders>
            <w:shd w:val="clear" w:color="auto" w:fill="auto"/>
            <w:noWrap/>
            <w:vAlign w:val="bottom"/>
            <w:hideMark/>
          </w:tcPr>
          <w:p w:rsidR="005E7EDE" w:rsidRDefault="005E7EDE" w:rsidP="00AD4468">
            <w:pPr>
              <w:jc w:val="right"/>
              <w:rPr>
                <w:rFonts w:ascii="Tahoma" w:hAnsi="Tahoma" w:cs="Tahoma"/>
                <w:b/>
                <w:bCs/>
                <w:sz w:val="18"/>
                <w:szCs w:val="18"/>
              </w:rPr>
            </w:pPr>
            <w:r>
              <w:rPr>
                <w:rFonts w:ascii="Tahoma" w:hAnsi="Tahoma" w:cs="Tahoma"/>
                <w:b/>
                <w:bCs/>
                <w:sz w:val="18"/>
                <w:szCs w:val="18"/>
              </w:rPr>
              <w:t xml:space="preserve">            172.727,45 </w:t>
            </w:r>
          </w:p>
        </w:tc>
      </w:tr>
    </w:tbl>
    <w:p w:rsidR="005E7EDE" w:rsidRDefault="005E7EDE" w:rsidP="001667DF">
      <w:pPr>
        <w:ind w:left="-426"/>
        <w:rPr>
          <w:rFonts w:ascii="Tahoma" w:hAnsi="Tahoma" w:cs="Tahoma"/>
          <w:sz w:val="22"/>
          <w:szCs w:val="22"/>
          <w:lang w:val="en-US"/>
        </w:rPr>
      </w:pPr>
    </w:p>
    <w:p w:rsidR="005E7EDE" w:rsidRDefault="005E7EDE" w:rsidP="001667DF">
      <w:pPr>
        <w:ind w:left="-426"/>
        <w:rPr>
          <w:rFonts w:ascii="Tahoma" w:hAnsi="Tahoma" w:cs="Tahoma"/>
          <w:sz w:val="22"/>
          <w:szCs w:val="22"/>
          <w:lang w:val="en-US"/>
        </w:rPr>
      </w:pPr>
    </w:p>
    <w:p w:rsidR="005E7EDE" w:rsidRPr="00485A4C" w:rsidRDefault="005E7EDE" w:rsidP="001667DF">
      <w:pPr>
        <w:ind w:left="-426"/>
        <w:rPr>
          <w:rFonts w:ascii="Tahoma" w:hAnsi="Tahoma" w:cs="Tahoma"/>
          <w:bCs/>
          <w:color w:val="000000"/>
          <w:sz w:val="22"/>
          <w:szCs w:val="22"/>
          <w:lang w:val="en-US"/>
        </w:rPr>
      </w:pPr>
    </w:p>
    <w:p w:rsidR="00E30D9C" w:rsidRPr="00485A4C" w:rsidRDefault="00E30D9C" w:rsidP="00576C0F">
      <w:pPr>
        <w:spacing w:line="360" w:lineRule="auto"/>
        <w:ind w:left="-540"/>
        <w:jc w:val="both"/>
        <w:rPr>
          <w:rFonts w:ascii="Tahoma" w:hAnsi="Tahoma" w:cs="Tahoma"/>
          <w:sz w:val="22"/>
          <w:szCs w:val="22"/>
          <w:highlight w:val="red"/>
        </w:rPr>
      </w:pPr>
    </w:p>
    <w:p w:rsidR="00576C0F" w:rsidRPr="00485A4C" w:rsidRDefault="00576C0F" w:rsidP="001667DF">
      <w:pPr>
        <w:spacing w:line="360" w:lineRule="auto"/>
        <w:ind w:left="-540"/>
        <w:jc w:val="both"/>
        <w:rPr>
          <w:rFonts w:ascii="Tahoma" w:hAnsi="Tahoma" w:cs="Tahoma"/>
          <w:sz w:val="22"/>
          <w:szCs w:val="22"/>
        </w:rPr>
      </w:pPr>
      <w:r w:rsidRPr="00485A4C">
        <w:rPr>
          <w:rFonts w:ascii="Tahoma" w:hAnsi="Tahoma" w:cs="Tahoma"/>
          <w:sz w:val="22"/>
          <w:szCs w:val="22"/>
        </w:rPr>
        <w:t>Ο συντελεστ</w:t>
      </w:r>
      <w:r w:rsidR="001667DF" w:rsidRPr="00485A4C">
        <w:rPr>
          <w:rFonts w:ascii="Tahoma" w:hAnsi="Tahoma" w:cs="Tahoma"/>
          <w:sz w:val="22"/>
          <w:szCs w:val="22"/>
        </w:rPr>
        <w:t>ή</w:t>
      </w:r>
      <w:r w:rsidRPr="00485A4C">
        <w:rPr>
          <w:rFonts w:ascii="Tahoma" w:hAnsi="Tahoma" w:cs="Tahoma"/>
          <w:sz w:val="22"/>
          <w:szCs w:val="22"/>
        </w:rPr>
        <w:t xml:space="preserve">ς </w:t>
      </w:r>
      <w:r w:rsidR="001667DF" w:rsidRPr="00485A4C">
        <w:rPr>
          <w:rFonts w:ascii="Tahoma" w:hAnsi="Tahoma" w:cs="Tahoma"/>
          <w:sz w:val="22"/>
          <w:szCs w:val="22"/>
        </w:rPr>
        <w:t>φόρου εισοδήματος που ισχύει επί των αποτελεσμάτων χρήσης είναι 29% για την 31.12.201</w:t>
      </w:r>
      <w:r w:rsidR="005E7EDE">
        <w:rPr>
          <w:rFonts w:ascii="Tahoma" w:hAnsi="Tahoma" w:cs="Tahoma"/>
          <w:sz w:val="22"/>
          <w:szCs w:val="22"/>
        </w:rPr>
        <w:t>8</w:t>
      </w:r>
      <w:r w:rsidR="001667DF" w:rsidRPr="00485A4C">
        <w:rPr>
          <w:rFonts w:ascii="Tahoma" w:hAnsi="Tahoma" w:cs="Tahoma"/>
          <w:sz w:val="22"/>
          <w:szCs w:val="22"/>
        </w:rPr>
        <w:t xml:space="preserve"> και την 31.12.201</w:t>
      </w:r>
      <w:r w:rsidR="005E7EDE">
        <w:rPr>
          <w:rFonts w:ascii="Tahoma" w:hAnsi="Tahoma" w:cs="Tahoma"/>
          <w:sz w:val="22"/>
          <w:szCs w:val="22"/>
        </w:rPr>
        <w:t>7</w:t>
      </w:r>
      <w:r w:rsidR="000251D7" w:rsidRPr="00485A4C">
        <w:rPr>
          <w:rFonts w:ascii="Tahoma" w:hAnsi="Tahoma" w:cs="Tahoma"/>
          <w:sz w:val="22"/>
          <w:szCs w:val="22"/>
        </w:rPr>
        <w:t>.</w:t>
      </w:r>
    </w:p>
    <w:p w:rsidR="0009353B" w:rsidRPr="00485A4C" w:rsidRDefault="0009353B" w:rsidP="00797A3A">
      <w:pPr>
        <w:rPr>
          <w:rFonts w:ascii="Tahoma" w:hAnsi="Tahoma" w:cs="Tahoma"/>
          <w:sz w:val="22"/>
          <w:szCs w:val="22"/>
          <w:highlight w:val="red"/>
        </w:rPr>
      </w:pPr>
    </w:p>
    <w:p w:rsidR="00480197" w:rsidRPr="00485A4C" w:rsidRDefault="005D64C9" w:rsidP="00480197">
      <w:pPr>
        <w:pStyle w:val="Heading2"/>
        <w:spacing w:before="0" w:after="0" w:line="360" w:lineRule="auto"/>
        <w:ind w:left="-540"/>
        <w:rPr>
          <w:rFonts w:ascii="Tahoma" w:hAnsi="Tahoma" w:cs="Tahoma"/>
          <w:i w:val="0"/>
          <w:sz w:val="22"/>
          <w:szCs w:val="22"/>
        </w:rPr>
      </w:pPr>
      <w:bookmarkStart w:id="67" w:name="_Toc526260623"/>
      <w:r w:rsidRPr="00485A4C">
        <w:rPr>
          <w:rFonts w:ascii="Tahoma" w:hAnsi="Tahoma" w:cs="Tahoma"/>
          <w:i w:val="0"/>
          <w:sz w:val="22"/>
          <w:szCs w:val="22"/>
          <w:lang w:val="el-GR"/>
        </w:rPr>
        <w:t>7</w:t>
      </w:r>
      <w:r w:rsidR="00480197" w:rsidRPr="00485A4C">
        <w:rPr>
          <w:rFonts w:ascii="Tahoma" w:hAnsi="Tahoma" w:cs="Tahoma"/>
          <w:i w:val="0"/>
          <w:sz w:val="22"/>
          <w:szCs w:val="22"/>
        </w:rPr>
        <w:t>.2</w:t>
      </w:r>
      <w:r w:rsidR="00FF431D" w:rsidRPr="00485A4C">
        <w:rPr>
          <w:rFonts w:ascii="Tahoma" w:hAnsi="Tahoma" w:cs="Tahoma"/>
          <w:i w:val="0"/>
          <w:sz w:val="22"/>
          <w:szCs w:val="22"/>
          <w:lang w:val="el-GR"/>
        </w:rPr>
        <w:t>2</w:t>
      </w:r>
      <w:r w:rsidR="00480197" w:rsidRPr="00485A4C">
        <w:rPr>
          <w:rFonts w:ascii="Tahoma" w:hAnsi="Tahoma" w:cs="Tahoma"/>
          <w:i w:val="0"/>
          <w:sz w:val="22"/>
          <w:szCs w:val="22"/>
        </w:rPr>
        <w:t>. Κέρδη ανά μετοχή</w:t>
      </w:r>
      <w:bookmarkEnd w:id="66"/>
      <w:bookmarkEnd w:id="67"/>
      <w:r w:rsidR="00480197" w:rsidRPr="00485A4C">
        <w:rPr>
          <w:rFonts w:ascii="Tahoma" w:hAnsi="Tahoma" w:cs="Tahoma"/>
          <w:i w:val="0"/>
          <w:sz w:val="22"/>
          <w:szCs w:val="22"/>
        </w:rPr>
        <w:t xml:space="preserve"> </w:t>
      </w:r>
    </w:p>
    <w:p w:rsidR="00480197" w:rsidRPr="00485A4C" w:rsidRDefault="00480197" w:rsidP="00480197">
      <w:pPr>
        <w:spacing w:line="360" w:lineRule="auto"/>
        <w:rPr>
          <w:rFonts w:ascii="Tahoma" w:hAnsi="Tahoma" w:cs="Tahoma"/>
          <w:sz w:val="22"/>
          <w:szCs w:val="22"/>
          <w:highlight w:val="red"/>
        </w:rPr>
      </w:pPr>
    </w:p>
    <w:p w:rsidR="00480197" w:rsidRPr="00485A4C" w:rsidRDefault="00480197" w:rsidP="00480197">
      <w:pPr>
        <w:autoSpaceDE w:val="0"/>
        <w:autoSpaceDN w:val="0"/>
        <w:adjustRightInd w:val="0"/>
        <w:spacing w:line="360" w:lineRule="auto"/>
        <w:ind w:left="-539"/>
        <w:jc w:val="both"/>
        <w:rPr>
          <w:rFonts w:ascii="Tahoma" w:hAnsi="Tahoma" w:cs="Tahoma"/>
          <w:sz w:val="22"/>
          <w:szCs w:val="22"/>
        </w:rPr>
      </w:pPr>
      <w:r w:rsidRPr="00485A4C">
        <w:rPr>
          <w:rFonts w:ascii="Tahoma" w:hAnsi="Tahoma" w:cs="Tahoma"/>
          <w:sz w:val="22"/>
          <w:szCs w:val="22"/>
        </w:rPr>
        <w:t xml:space="preserve">Τα βασικά κέρδη ανά μετοχή υπολογίζονται με διαίρεση του κέρδους που αναλογεί στους μετόχους της εταιρείας με τον συνολικό αριθμό των κοινών </w:t>
      </w:r>
      <w:r w:rsidR="000D2531" w:rsidRPr="00485A4C">
        <w:rPr>
          <w:rFonts w:ascii="Tahoma" w:hAnsi="Tahoma" w:cs="Tahoma"/>
          <w:sz w:val="22"/>
          <w:szCs w:val="22"/>
        </w:rPr>
        <w:t>μετοχών που είναι σε κυκλοφορία</w:t>
      </w:r>
      <w:r w:rsidRPr="00485A4C">
        <w:rPr>
          <w:rFonts w:ascii="Tahoma" w:hAnsi="Tahoma" w:cs="Tahoma"/>
          <w:sz w:val="22"/>
          <w:szCs w:val="22"/>
        </w:rPr>
        <w:t xml:space="preserve">. </w:t>
      </w:r>
    </w:p>
    <w:p w:rsidR="001C133C" w:rsidRPr="00485A4C" w:rsidRDefault="001C133C" w:rsidP="00480197">
      <w:pPr>
        <w:spacing w:line="360" w:lineRule="auto"/>
        <w:ind w:left="-540"/>
        <w:rPr>
          <w:rFonts w:ascii="Tahoma" w:hAnsi="Tahoma" w:cs="Tahoma"/>
          <w:sz w:val="22"/>
          <w:szCs w:val="22"/>
        </w:rPr>
      </w:pPr>
    </w:p>
    <w:p w:rsidR="004C7D5A" w:rsidRPr="00485A4C" w:rsidRDefault="00480197" w:rsidP="00480197">
      <w:pPr>
        <w:spacing w:line="360" w:lineRule="auto"/>
        <w:ind w:left="-540"/>
        <w:rPr>
          <w:rFonts w:ascii="Tahoma" w:hAnsi="Tahoma" w:cs="Tahoma"/>
          <w:sz w:val="22"/>
          <w:szCs w:val="22"/>
        </w:rPr>
      </w:pPr>
      <w:r w:rsidRPr="00485A4C">
        <w:rPr>
          <w:rFonts w:ascii="Tahoma" w:hAnsi="Tahoma" w:cs="Tahoma"/>
          <w:sz w:val="22"/>
          <w:szCs w:val="22"/>
        </w:rPr>
        <w:t xml:space="preserve">Τα </w:t>
      </w:r>
      <w:r w:rsidR="00A16F29" w:rsidRPr="00485A4C">
        <w:rPr>
          <w:rFonts w:ascii="Tahoma" w:hAnsi="Tahoma" w:cs="Tahoma"/>
          <w:sz w:val="22"/>
          <w:szCs w:val="22"/>
        </w:rPr>
        <w:t>αποτελέσματα</w:t>
      </w:r>
      <w:r w:rsidRPr="00485A4C">
        <w:rPr>
          <w:rFonts w:ascii="Tahoma" w:hAnsi="Tahoma" w:cs="Tahoma"/>
          <w:sz w:val="22"/>
          <w:szCs w:val="22"/>
        </w:rPr>
        <w:t xml:space="preserve"> ανά μετοχή αναλύονται ως εξής:</w:t>
      </w:r>
    </w:p>
    <w:p w:rsidR="009C3B31" w:rsidRDefault="009C3B31" w:rsidP="001667DF">
      <w:pPr>
        <w:spacing w:line="360" w:lineRule="auto"/>
        <w:ind w:left="-426"/>
        <w:rPr>
          <w:rFonts w:ascii="Tahoma" w:hAnsi="Tahoma" w:cs="Tahoma"/>
          <w:sz w:val="22"/>
          <w:szCs w:val="22"/>
          <w:lang w:val="en-US"/>
        </w:rPr>
      </w:pPr>
    </w:p>
    <w:tbl>
      <w:tblPr>
        <w:tblW w:w="9308" w:type="dxa"/>
        <w:tblInd w:w="-851" w:type="dxa"/>
        <w:tblLook w:val="04A0" w:firstRow="1" w:lastRow="0" w:firstColumn="1" w:lastColumn="0" w:noHBand="0" w:noVBand="1"/>
      </w:tblPr>
      <w:tblGrid>
        <w:gridCol w:w="5696"/>
        <w:gridCol w:w="1816"/>
        <w:gridCol w:w="1796"/>
      </w:tblGrid>
      <w:tr w:rsidR="00AD4468" w:rsidTr="00AD4468">
        <w:trPr>
          <w:trHeight w:val="264"/>
        </w:trPr>
        <w:tc>
          <w:tcPr>
            <w:tcW w:w="5696" w:type="dxa"/>
            <w:tcBorders>
              <w:top w:val="nil"/>
              <w:left w:val="nil"/>
              <w:bottom w:val="nil"/>
              <w:right w:val="nil"/>
            </w:tcBorders>
            <w:shd w:val="clear" w:color="000000" w:fill="E6E6E6"/>
            <w:noWrap/>
            <w:vAlign w:val="bottom"/>
            <w:hideMark/>
          </w:tcPr>
          <w:p w:rsidR="00AD4468" w:rsidRDefault="00AD4468">
            <w:pPr>
              <w:rPr>
                <w:rFonts w:ascii="Tahoma" w:hAnsi="Tahoma" w:cs="Tahoma"/>
                <w:b/>
                <w:bCs/>
                <w:sz w:val="18"/>
                <w:szCs w:val="18"/>
              </w:rPr>
            </w:pPr>
            <w:r>
              <w:rPr>
                <w:rFonts w:ascii="Tahoma" w:hAnsi="Tahoma" w:cs="Tahoma"/>
                <w:b/>
                <w:bCs/>
                <w:sz w:val="18"/>
                <w:szCs w:val="18"/>
              </w:rPr>
              <w:t> </w:t>
            </w:r>
          </w:p>
        </w:tc>
        <w:tc>
          <w:tcPr>
            <w:tcW w:w="1816" w:type="dxa"/>
            <w:tcBorders>
              <w:top w:val="nil"/>
              <w:left w:val="nil"/>
              <w:bottom w:val="nil"/>
              <w:right w:val="nil"/>
            </w:tcBorders>
            <w:shd w:val="clear" w:color="000000" w:fill="E6E6E6"/>
            <w:noWrap/>
            <w:vAlign w:val="bottom"/>
            <w:hideMark/>
          </w:tcPr>
          <w:p w:rsidR="00AD4468" w:rsidRDefault="00AD4468">
            <w:pPr>
              <w:jc w:val="center"/>
              <w:rPr>
                <w:rFonts w:ascii="Tahoma" w:hAnsi="Tahoma" w:cs="Tahoma"/>
                <w:b/>
                <w:bCs/>
                <w:sz w:val="18"/>
                <w:szCs w:val="18"/>
              </w:rPr>
            </w:pPr>
            <w:r>
              <w:rPr>
                <w:rFonts w:ascii="Tahoma" w:hAnsi="Tahoma" w:cs="Tahoma"/>
                <w:b/>
                <w:bCs/>
                <w:sz w:val="18"/>
                <w:szCs w:val="18"/>
              </w:rPr>
              <w:t>31.12.2018</w:t>
            </w:r>
          </w:p>
        </w:tc>
        <w:tc>
          <w:tcPr>
            <w:tcW w:w="1796" w:type="dxa"/>
            <w:tcBorders>
              <w:top w:val="nil"/>
              <w:left w:val="nil"/>
              <w:bottom w:val="nil"/>
              <w:right w:val="nil"/>
            </w:tcBorders>
            <w:shd w:val="clear" w:color="000000" w:fill="E6E6E6"/>
            <w:noWrap/>
            <w:vAlign w:val="bottom"/>
            <w:hideMark/>
          </w:tcPr>
          <w:p w:rsidR="00AD4468" w:rsidRDefault="00AD4468">
            <w:pPr>
              <w:jc w:val="center"/>
              <w:rPr>
                <w:rFonts w:ascii="Tahoma" w:hAnsi="Tahoma" w:cs="Tahoma"/>
                <w:b/>
                <w:bCs/>
                <w:sz w:val="18"/>
                <w:szCs w:val="18"/>
              </w:rPr>
            </w:pPr>
            <w:r>
              <w:rPr>
                <w:rFonts w:ascii="Tahoma" w:hAnsi="Tahoma" w:cs="Tahoma"/>
                <w:b/>
                <w:bCs/>
                <w:sz w:val="18"/>
                <w:szCs w:val="18"/>
              </w:rPr>
              <w:t>31.12.2017</w:t>
            </w:r>
          </w:p>
        </w:tc>
      </w:tr>
      <w:tr w:rsidR="00AD4468" w:rsidTr="00AD4468">
        <w:trPr>
          <w:trHeight w:val="360"/>
        </w:trPr>
        <w:tc>
          <w:tcPr>
            <w:tcW w:w="5696" w:type="dxa"/>
            <w:tcBorders>
              <w:top w:val="nil"/>
              <w:left w:val="nil"/>
              <w:bottom w:val="nil"/>
              <w:right w:val="nil"/>
            </w:tcBorders>
            <w:shd w:val="clear" w:color="auto" w:fill="auto"/>
            <w:noWrap/>
            <w:vAlign w:val="bottom"/>
            <w:hideMark/>
          </w:tcPr>
          <w:p w:rsidR="00AD4468" w:rsidRDefault="00AD4468">
            <w:pPr>
              <w:rPr>
                <w:rFonts w:ascii="Tahoma" w:hAnsi="Tahoma" w:cs="Tahoma"/>
                <w:color w:val="000000"/>
                <w:sz w:val="18"/>
                <w:szCs w:val="18"/>
              </w:rPr>
            </w:pPr>
            <w:r>
              <w:rPr>
                <w:rFonts w:ascii="Tahoma" w:hAnsi="Tahoma" w:cs="Tahoma"/>
                <w:color w:val="000000"/>
                <w:sz w:val="18"/>
                <w:szCs w:val="18"/>
              </w:rPr>
              <w:t>Κέρδη που αναλογούν στους μετόχους της μητρικής</w:t>
            </w:r>
          </w:p>
        </w:tc>
        <w:tc>
          <w:tcPr>
            <w:tcW w:w="1816" w:type="dxa"/>
            <w:tcBorders>
              <w:top w:val="nil"/>
              <w:left w:val="nil"/>
              <w:bottom w:val="nil"/>
              <w:right w:val="nil"/>
            </w:tcBorders>
            <w:shd w:val="clear" w:color="auto" w:fill="auto"/>
            <w:noWrap/>
            <w:vAlign w:val="bottom"/>
            <w:hideMark/>
          </w:tcPr>
          <w:p w:rsidR="00AD4468" w:rsidRDefault="00AD4468" w:rsidP="00AD4468">
            <w:pPr>
              <w:jc w:val="right"/>
              <w:rPr>
                <w:rFonts w:ascii="Tahoma" w:hAnsi="Tahoma" w:cs="Tahoma"/>
                <w:sz w:val="18"/>
                <w:szCs w:val="18"/>
              </w:rPr>
            </w:pPr>
            <w:r>
              <w:rPr>
                <w:rFonts w:ascii="Tahoma" w:hAnsi="Tahoma" w:cs="Tahoma"/>
                <w:sz w:val="18"/>
                <w:szCs w:val="18"/>
              </w:rPr>
              <w:t xml:space="preserve">             372.710,45 </w:t>
            </w:r>
          </w:p>
        </w:tc>
        <w:tc>
          <w:tcPr>
            <w:tcW w:w="1796" w:type="dxa"/>
            <w:tcBorders>
              <w:top w:val="nil"/>
              <w:left w:val="nil"/>
              <w:bottom w:val="nil"/>
              <w:right w:val="nil"/>
            </w:tcBorders>
            <w:shd w:val="clear" w:color="auto" w:fill="auto"/>
            <w:noWrap/>
            <w:vAlign w:val="bottom"/>
            <w:hideMark/>
          </w:tcPr>
          <w:p w:rsidR="00AD4468" w:rsidRDefault="00AD4468" w:rsidP="00AD4468">
            <w:pPr>
              <w:jc w:val="right"/>
              <w:rPr>
                <w:rFonts w:ascii="Tahoma" w:hAnsi="Tahoma" w:cs="Tahoma"/>
                <w:sz w:val="18"/>
                <w:szCs w:val="18"/>
              </w:rPr>
            </w:pPr>
            <w:r>
              <w:rPr>
                <w:rFonts w:ascii="Tahoma" w:hAnsi="Tahoma" w:cs="Tahoma"/>
                <w:sz w:val="18"/>
                <w:szCs w:val="18"/>
              </w:rPr>
              <w:t xml:space="preserve">             475.515,50 </w:t>
            </w:r>
          </w:p>
        </w:tc>
      </w:tr>
      <w:tr w:rsidR="00AD4468" w:rsidTr="00AD4468">
        <w:trPr>
          <w:trHeight w:val="360"/>
        </w:trPr>
        <w:tc>
          <w:tcPr>
            <w:tcW w:w="5696" w:type="dxa"/>
            <w:tcBorders>
              <w:top w:val="nil"/>
              <w:left w:val="nil"/>
              <w:bottom w:val="nil"/>
              <w:right w:val="nil"/>
            </w:tcBorders>
            <w:shd w:val="clear" w:color="auto" w:fill="auto"/>
            <w:vAlign w:val="bottom"/>
            <w:hideMark/>
          </w:tcPr>
          <w:p w:rsidR="00AD4468" w:rsidRDefault="00AD4468">
            <w:pPr>
              <w:rPr>
                <w:rFonts w:ascii="Tahoma" w:hAnsi="Tahoma" w:cs="Tahoma"/>
                <w:color w:val="000000"/>
                <w:sz w:val="18"/>
                <w:szCs w:val="18"/>
              </w:rPr>
            </w:pPr>
            <w:r>
              <w:rPr>
                <w:rFonts w:ascii="Tahoma" w:hAnsi="Tahoma" w:cs="Tahoma"/>
                <w:color w:val="000000"/>
                <w:sz w:val="18"/>
                <w:szCs w:val="18"/>
              </w:rPr>
              <w:t>Σταθμισμένος μέσος όρος μετοχών</w:t>
            </w:r>
          </w:p>
        </w:tc>
        <w:tc>
          <w:tcPr>
            <w:tcW w:w="1816" w:type="dxa"/>
            <w:tcBorders>
              <w:top w:val="nil"/>
              <w:left w:val="nil"/>
              <w:bottom w:val="nil"/>
              <w:right w:val="nil"/>
            </w:tcBorders>
            <w:shd w:val="clear" w:color="auto" w:fill="auto"/>
            <w:noWrap/>
            <w:vAlign w:val="bottom"/>
            <w:hideMark/>
          </w:tcPr>
          <w:p w:rsidR="00AD4468" w:rsidRDefault="00AD4468" w:rsidP="00AD4468">
            <w:pPr>
              <w:jc w:val="right"/>
              <w:rPr>
                <w:rFonts w:ascii="Tahoma" w:hAnsi="Tahoma" w:cs="Tahoma"/>
                <w:sz w:val="18"/>
                <w:szCs w:val="18"/>
              </w:rPr>
            </w:pPr>
            <w:r>
              <w:rPr>
                <w:rFonts w:ascii="Tahoma" w:hAnsi="Tahoma" w:cs="Tahoma"/>
                <w:sz w:val="18"/>
                <w:szCs w:val="18"/>
              </w:rPr>
              <w:t xml:space="preserve">              61.000,00 </w:t>
            </w:r>
          </w:p>
        </w:tc>
        <w:tc>
          <w:tcPr>
            <w:tcW w:w="1796" w:type="dxa"/>
            <w:tcBorders>
              <w:top w:val="nil"/>
              <w:left w:val="nil"/>
              <w:bottom w:val="nil"/>
              <w:right w:val="nil"/>
            </w:tcBorders>
            <w:shd w:val="clear" w:color="auto" w:fill="auto"/>
            <w:noWrap/>
            <w:vAlign w:val="bottom"/>
            <w:hideMark/>
          </w:tcPr>
          <w:p w:rsidR="00AD4468" w:rsidRDefault="00AD4468" w:rsidP="00AD4468">
            <w:pPr>
              <w:jc w:val="right"/>
              <w:rPr>
                <w:rFonts w:ascii="Tahoma" w:hAnsi="Tahoma" w:cs="Tahoma"/>
                <w:sz w:val="18"/>
                <w:szCs w:val="18"/>
              </w:rPr>
            </w:pPr>
            <w:r>
              <w:rPr>
                <w:rFonts w:ascii="Tahoma" w:hAnsi="Tahoma" w:cs="Tahoma"/>
                <w:sz w:val="18"/>
                <w:szCs w:val="18"/>
              </w:rPr>
              <w:t xml:space="preserve">              61.000,00 </w:t>
            </w:r>
          </w:p>
        </w:tc>
      </w:tr>
      <w:tr w:rsidR="00AD4468" w:rsidTr="00AD4468">
        <w:trPr>
          <w:trHeight w:val="360"/>
        </w:trPr>
        <w:tc>
          <w:tcPr>
            <w:tcW w:w="5696" w:type="dxa"/>
            <w:tcBorders>
              <w:top w:val="nil"/>
              <w:left w:val="nil"/>
              <w:bottom w:val="nil"/>
              <w:right w:val="nil"/>
            </w:tcBorders>
            <w:shd w:val="clear" w:color="auto" w:fill="auto"/>
            <w:vAlign w:val="bottom"/>
            <w:hideMark/>
          </w:tcPr>
          <w:p w:rsidR="00AD4468" w:rsidRDefault="00AD4468">
            <w:pPr>
              <w:rPr>
                <w:rFonts w:ascii="Tahoma" w:hAnsi="Tahoma" w:cs="Tahoma"/>
                <w:color w:val="000000"/>
                <w:sz w:val="18"/>
                <w:szCs w:val="18"/>
              </w:rPr>
            </w:pPr>
            <w:r>
              <w:rPr>
                <w:rFonts w:ascii="Tahoma" w:hAnsi="Tahoma" w:cs="Tahoma"/>
                <w:color w:val="000000"/>
                <w:sz w:val="18"/>
                <w:szCs w:val="18"/>
              </w:rPr>
              <w:t>Βασικά κέρδη ανά μετοχή</w:t>
            </w:r>
          </w:p>
        </w:tc>
        <w:tc>
          <w:tcPr>
            <w:tcW w:w="1816" w:type="dxa"/>
            <w:tcBorders>
              <w:top w:val="nil"/>
              <w:left w:val="nil"/>
              <w:bottom w:val="nil"/>
              <w:right w:val="nil"/>
            </w:tcBorders>
            <w:shd w:val="clear" w:color="auto" w:fill="auto"/>
            <w:noWrap/>
            <w:vAlign w:val="bottom"/>
            <w:hideMark/>
          </w:tcPr>
          <w:p w:rsidR="00AD4468" w:rsidRDefault="00AD4468" w:rsidP="00AD4468">
            <w:pPr>
              <w:jc w:val="right"/>
              <w:rPr>
                <w:rFonts w:ascii="Tahoma" w:hAnsi="Tahoma" w:cs="Tahoma"/>
                <w:sz w:val="18"/>
                <w:szCs w:val="18"/>
              </w:rPr>
            </w:pPr>
            <w:r>
              <w:rPr>
                <w:rFonts w:ascii="Tahoma" w:hAnsi="Tahoma" w:cs="Tahoma"/>
                <w:sz w:val="18"/>
                <w:szCs w:val="18"/>
              </w:rPr>
              <w:t xml:space="preserve">                   6,1100 </w:t>
            </w:r>
          </w:p>
        </w:tc>
        <w:tc>
          <w:tcPr>
            <w:tcW w:w="1796" w:type="dxa"/>
            <w:tcBorders>
              <w:top w:val="nil"/>
              <w:left w:val="nil"/>
              <w:bottom w:val="nil"/>
              <w:right w:val="nil"/>
            </w:tcBorders>
            <w:shd w:val="clear" w:color="auto" w:fill="auto"/>
            <w:noWrap/>
            <w:vAlign w:val="bottom"/>
            <w:hideMark/>
          </w:tcPr>
          <w:p w:rsidR="00AD4468" w:rsidRDefault="00AD4468" w:rsidP="00AD4468">
            <w:pPr>
              <w:jc w:val="right"/>
              <w:rPr>
                <w:rFonts w:ascii="Tahoma" w:hAnsi="Tahoma" w:cs="Tahoma"/>
                <w:sz w:val="18"/>
                <w:szCs w:val="18"/>
              </w:rPr>
            </w:pPr>
            <w:r>
              <w:rPr>
                <w:rFonts w:ascii="Tahoma" w:hAnsi="Tahoma" w:cs="Tahoma"/>
                <w:sz w:val="18"/>
                <w:szCs w:val="18"/>
              </w:rPr>
              <w:t xml:space="preserve">                  7,7953 </w:t>
            </w:r>
          </w:p>
        </w:tc>
      </w:tr>
    </w:tbl>
    <w:p w:rsidR="00AD4468" w:rsidRDefault="00AD4468" w:rsidP="001667DF">
      <w:pPr>
        <w:spacing w:line="360" w:lineRule="auto"/>
        <w:ind w:left="-426"/>
        <w:rPr>
          <w:rFonts w:ascii="Tahoma" w:hAnsi="Tahoma" w:cs="Tahoma"/>
          <w:sz w:val="22"/>
          <w:szCs w:val="22"/>
          <w:lang w:val="en-US"/>
        </w:rPr>
      </w:pPr>
    </w:p>
    <w:p w:rsidR="00AD4468" w:rsidRDefault="00AD4468" w:rsidP="001667DF">
      <w:pPr>
        <w:spacing w:line="360" w:lineRule="auto"/>
        <w:ind w:left="-426"/>
        <w:rPr>
          <w:rFonts w:ascii="Tahoma" w:hAnsi="Tahoma" w:cs="Tahoma"/>
          <w:sz w:val="22"/>
          <w:szCs w:val="22"/>
          <w:lang w:val="en-US"/>
        </w:rPr>
      </w:pPr>
    </w:p>
    <w:p w:rsidR="00AD4468" w:rsidRDefault="00AD4468" w:rsidP="001667DF">
      <w:pPr>
        <w:spacing w:line="360" w:lineRule="auto"/>
        <w:ind w:left="-426"/>
        <w:rPr>
          <w:rFonts w:ascii="Tahoma" w:hAnsi="Tahoma" w:cs="Tahoma"/>
          <w:sz w:val="22"/>
          <w:szCs w:val="22"/>
          <w:lang w:val="en-US"/>
        </w:rPr>
      </w:pPr>
    </w:p>
    <w:p w:rsidR="00AD4468" w:rsidRDefault="00AD4468" w:rsidP="001667DF">
      <w:pPr>
        <w:spacing w:line="360" w:lineRule="auto"/>
        <w:ind w:left="-426"/>
        <w:rPr>
          <w:rFonts w:ascii="Tahoma" w:hAnsi="Tahoma" w:cs="Tahoma"/>
          <w:sz w:val="22"/>
          <w:szCs w:val="22"/>
          <w:lang w:val="en-US"/>
        </w:rPr>
      </w:pPr>
    </w:p>
    <w:p w:rsidR="00AD4468" w:rsidRPr="00485A4C" w:rsidRDefault="00AD4468" w:rsidP="001667DF">
      <w:pPr>
        <w:spacing w:line="360" w:lineRule="auto"/>
        <w:ind w:left="-426"/>
        <w:rPr>
          <w:rFonts w:ascii="Tahoma" w:hAnsi="Tahoma" w:cs="Tahoma"/>
          <w:sz w:val="22"/>
          <w:szCs w:val="22"/>
          <w:highlight w:val="red"/>
          <w:lang w:val="en-US"/>
        </w:rPr>
      </w:pPr>
    </w:p>
    <w:p w:rsidR="00480197" w:rsidRPr="00485A4C" w:rsidRDefault="00480197" w:rsidP="00480197">
      <w:pPr>
        <w:ind w:left="-540"/>
        <w:rPr>
          <w:rFonts w:ascii="Tahoma" w:hAnsi="Tahoma" w:cs="Tahoma"/>
          <w:sz w:val="22"/>
          <w:szCs w:val="22"/>
          <w:highlight w:val="red"/>
        </w:rPr>
      </w:pPr>
    </w:p>
    <w:p w:rsidR="00480197" w:rsidRPr="00485A4C" w:rsidRDefault="005D64C9" w:rsidP="00480197">
      <w:pPr>
        <w:pStyle w:val="Heading2"/>
        <w:spacing w:before="0" w:after="0" w:line="360" w:lineRule="auto"/>
        <w:ind w:left="-540"/>
        <w:rPr>
          <w:rFonts w:ascii="Tahoma" w:hAnsi="Tahoma" w:cs="Tahoma"/>
          <w:i w:val="0"/>
          <w:sz w:val="22"/>
          <w:szCs w:val="22"/>
        </w:rPr>
      </w:pPr>
      <w:bookmarkStart w:id="68" w:name="_Toc178753456"/>
      <w:bookmarkStart w:id="69" w:name="_Toc526260624"/>
      <w:r w:rsidRPr="00485A4C">
        <w:rPr>
          <w:rFonts w:ascii="Tahoma" w:hAnsi="Tahoma" w:cs="Tahoma"/>
          <w:i w:val="0"/>
          <w:sz w:val="22"/>
          <w:szCs w:val="22"/>
          <w:lang w:val="el-GR"/>
        </w:rPr>
        <w:t>7</w:t>
      </w:r>
      <w:r w:rsidR="00480197" w:rsidRPr="00485A4C">
        <w:rPr>
          <w:rFonts w:ascii="Tahoma" w:hAnsi="Tahoma" w:cs="Tahoma"/>
          <w:i w:val="0"/>
          <w:sz w:val="22"/>
          <w:szCs w:val="22"/>
        </w:rPr>
        <w:t>.</w:t>
      </w:r>
      <w:r w:rsidR="00C4012F" w:rsidRPr="00485A4C">
        <w:rPr>
          <w:rFonts w:ascii="Tahoma" w:hAnsi="Tahoma" w:cs="Tahoma"/>
          <w:i w:val="0"/>
          <w:sz w:val="22"/>
          <w:szCs w:val="22"/>
        </w:rPr>
        <w:t>2</w:t>
      </w:r>
      <w:r w:rsidR="00FF431D" w:rsidRPr="00485A4C">
        <w:rPr>
          <w:rFonts w:ascii="Tahoma" w:hAnsi="Tahoma" w:cs="Tahoma"/>
          <w:i w:val="0"/>
          <w:sz w:val="22"/>
          <w:szCs w:val="22"/>
          <w:lang w:val="el-GR"/>
        </w:rPr>
        <w:t>3</w:t>
      </w:r>
      <w:r w:rsidR="00480197" w:rsidRPr="00485A4C">
        <w:rPr>
          <w:rFonts w:ascii="Tahoma" w:hAnsi="Tahoma" w:cs="Tahoma"/>
          <w:i w:val="0"/>
          <w:sz w:val="22"/>
          <w:szCs w:val="22"/>
        </w:rPr>
        <w:t>. Μερίσματα</w:t>
      </w:r>
      <w:bookmarkEnd w:id="68"/>
      <w:bookmarkEnd w:id="69"/>
      <w:r w:rsidR="00480197" w:rsidRPr="00485A4C">
        <w:rPr>
          <w:rFonts w:ascii="Tahoma" w:hAnsi="Tahoma" w:cs="Tahoma"/>
          <w:i w:val="0"/>
          <w:sz w:val="22"/>
          <w:szCs w:val="22"/>
        </w:rPr>
        <w:t xml:space="preserve"> </w:t>
      </w:r>
    </w:p>
    <w:p w:rsidR="00C34E1F" w:rsidRPr="00485A4C" w:rsidRDefault="00480197" w:rsidP="00234748">
      <w:pPr>
        <w:autoSpaceDE w:val="0"/>
        <w:autoSpaceDN w:val="0"/>
        <w:adjustRightInd w:val="0"/>
        <w:spacing w:line="360" w:lineRule="auto"/>
        <w:ind w:left="-540"/>
        <w:jc w:val="both"/>
        <w:rPr>
          <w:rFonts w:ascii="Tahoma" w:hAnsi="Tahoma" w:cs="Tahoma"/>
          <w:sz w:val="22"/>
          <w:szCs w:val="22"/>
        </w:rPr>
      </w:pPr>
      <w:r w:rsidRPr="00485A4C">
        <w:rPr>
          <w:rFonts w:ascii="Tahoma" w:hAnsi="Tahoma" w:cs="Tahoma"/>
          <w:sz w:val="22"/>
          <w:szCs w:val="22"/>
        </w:rPr>
        <w:t xml:space="preserve">Τα μερίσματα καταχωρούνται στις οικονομικές καταστάσεις </w:t>
      </w:r>
      <w:r w:rsidR="00226AE1" w:rsidRPr="00485A4C">
        <w:rPr>
          <w:rFonts w:ascii="Tahoma" w:hAnsi="Tahoma" w:cs="Tahoma"/>
          <w:sz w:val="22"/>
          <w:szCs w:val="22"/>
        </w:rPr>
        <w:t>της εταιρείας</w:t>
      </w:r>
      <w:r w:rsidRPr="00485A4C">
        <w:rPr>
          <w:rFonts w:ascii="Tahoma" w:hAnsi="Tahoma" w:cs="Tahoma"/>
          <w:sz w:val="22"/>
          <w:szCs w:val="22"/>
        </w:rPr>
        <w:t xml:space="preserve"> κατά την χρήση στην οποία εγκρίνονται από τους μετόχους. Για την κλειόμενη χρήση προτ</w:t>
      </w:r>
      <w:r w:rsidR="00234748" w:rsidRPr="00485A4C">
        <w:rPr>
          <w:rFonts w:ascii="Tahoma" w:hAnsi="Tahoma" w:cs="Tahoma"/>
          <w:sz w:val="22"/>
          <w:szCs w:val="22"/>
        </w:rPr>
        <w:t>είνεται</w:t>
      </w:r>
      <w:r w:rsidRPr="00485A4C">
        <w:rPr>
          <w:rFonts w:ascii="Tahoma" w:hAnsi="Tahoma" w:cs="Tahoma"/>
          <w:sz w:val="22"/>
          <w:szCs w:val="22"/>
        </w:rPr>
        <w:t xml:space="preserve"> από το Διοικητικό Συμβούλιο της </w:t>
      </w:r>
      <w:r w:rsidR="00C34E1F" w:rsidRPr="00485A4C">
        <w:rPr>
          <w:rFonts w:ascii="Tahoma" w:hAnsi="Tahoma" w:cs="Tahoma"/>
          <w:sz w:val="22"/>
          <w:szCs w:val="22"/>
        </w:rPr>
        <w:t>Ε</w:t>
      </w:r>
      <w:r w:rsidRPr="00485A4C">
        <w:rPr>
          <w:rFonts w:ascii="Tahoma" w:hAnsi="Tahoma" w:cs="Tahoma"/>
          <w:sz w:val="22"/>
          <w:szCs w:val="22"/>
        </w:rPr>
        <w:t>ταιρείας δι</w:t>
      </w:r>
      <w:r w:rsidR="007A19DF" w:rsidRPr="00485A4C">
        <w:rPr>
          <w:rFonts w:ascii="Tahoma" w:hAnsi="Tahoma" w:cs="Tahoma"/>
          <w:sz w:val="22"/>
          <w:szCs w:val="22"/>
        </w:rPr>
        <w:t>ανομή</w:t>
      </w:r>
      <w:r w:rsidR="00234748" w:rsidRPr="00485A4C">
        <w:rPr>
          <w:rFonts w:ascii="Tahoma" w:hAnsi="Tahoma" w:cs="Tahoma"/>
          <w:sz w:val="22"/>
          <w:szCs w:val="22"/>
        </w:rPr>
        <w:t xml:space="preserve"> μερισμάτων</w:t>
      </w:r>
      <w:r w:rsidR="001667DF" w:rsidRPr="00485A4C">
        <w:rPr>
          <w:rFonts w:ascii="Tahoma" w:hAnsi="Tahoma" w:cs="Tahoma"/>
          <w:sz w:val="22"/>
          <w:szCs w:val="22"/>
        </w:rPr>
        <w:t xml:space="preserve"> ύψους € </w:t>
      </w:r>
      <w:r w:rsidR="00727B47" w:rsidRPr="00AD4468">
        <w:rPr>
          <w:rFonts w:ascii="Tahoma" w:hAnsi="Tahoma" w:cs="Tahoma"/>
          <w:sz w:val="22"/>
          <w:szCs w:val="22"/>
          <w:highlight w:val="yellow"/>
        </w:rPr>
        <w:t>390.000,00</w:t>
      </w:r>
    </w:p>
    <w:p w:rsidR="00F667AD" w:rsidRPr="00485A4C" w:rsidRDefault="00F667AD" w:rsidP="00480197">
      <w:pPr>
        <w:rPr>
          <w:rFonts w:ascii="Tahoma" w:hAnsi="Tahoma" w:cs="Tahoma"/>
          <w:sz w:val="22"/>
          <w:szCs w:val="22"/>
          <w:highlight w:val="red"/>
        </w:rPr>
      </w:pPr>
    </w:p>
    <w:p w:rsidR="00480197" w:rsidRPr="00485A4C" w:rsidRDefault="005D64C9" w:rsidP="00480197">
      <w:pPr>
        <w:pStyle w:val="Heading2"/>
        <w:spacing w:before="0" w:after="0" w:line="360" w:lineRule="auto"/>
        <w:ind w:left="-540"/>
        <w:rPr>
          <w:rFonts w:ascii="Tahoma" w:hAnsi="Tahoma" w:cs="Tahoma"/>
          <w:i w:val="0"/>
          <w:sz w:val="22"/>
          <w:szCs w:val="22"/>
        </w:rPr>
      </w:pPr>
      <w:bookmarkStart w:id="70" w:name="_Toc178753457"/>
      <w:bookmarkStart w:id="71" w:name="_Toc526260625"/>
      <w:r w:rsidRPr="00485A4C">
        <w:rPr>
          <w:rFonts w:ascii="Tahoma" w:hAnsi="Tahoma" w:cs="Tahoma"/>
          <w:i w:val="0"/>
          <w:sz w:val="22"/>
          <w:szCs w:val="22"/>
          <w:lang w:val="el-GR"/>
        </w:rPr>
        <w:t>7</w:t>
      </w:r>
      <w:r w:rsidR="00480197" w:rsidRPr="00485A4C">
        <w:rPr>
          <w:rFonts w:ascii="Tahoma" w:hAnsi="Tahoma" w:cs="Tahoma"/>
          <w:i w:val="0"/>
          <w:sz w:val="22"/>
          <w:szCs w:val="22"/>
        </w:rPr>
        <w:t>.2</w:t>
      </w:r>
      <w:r w:rsidR="00FF431D" w:rsidRPr="00485A4C">
        <w:rPr>
          <w:rFonts w:ascii="Tahoma" w:hAnsi="Tahoma" w:cs="Tahoma"/>
          <w:i w:val="0"/>
          <w:sz w:val="22"/>
          <w:szCs w:val="22"/>
          <w:lang w:val="el-GR"/>
        </w:rPr>
        <w:t>4</w:t>
      </w:r>
      <w:r w:rsidR="00480197" w:rsidRPr="00485A4C">
        <w:rPr>
          <w:rFonts w:ascii="Tahoma" w:hAnsi="Tahoma" w:cs="Tahoma"/>
          <w:i w:val="0"/>
          <w:sz w:val="22"/>
          <w:szCs w:val="22"/>
        </w:rPr>
        <w:t>. Ενδεχόμενες υποχρεώσεις</w:t>
      </w:r>
      <w:bookmarkEnd w:id="70"/>
      <w:bookmarkEnd w:id="71"/>
    </w:p>
    <w:p w:rsidR="00854530" w:rsidRPr="00485A4C" w:rsidRDefault="00854530" w:rsidP="00854530">
      <w:pPr>
        <w:autoSpaceDE w:val="0"/>
        <w:autoSpaceDN w:val="0"/>
        <w:adjustRightInd w:val="0"/>
        <w:spacing w:line="360" w:lineRule="auto"/>
        <w:ind w:left="-540"/>
        <w:jc w:val="both"/>
        <w:rPr>
          <w:rFonts w:ascii="Tahoma" w:hAnsi="Tahoma" w:cs="Tahoma"/>
          <w:b/>
          <w:i/>
          <w:sz w:val="22"/>
          <w:szCs w:val="22"/>
          <w:highlight w:val="yellow"/>
          <w:u w:val="single"/>
        </w:rPr>
      </w:pPr>
      <w:r w:rsidRPr="00485A4C">
        <w:rPr>
          <w:rFonts w:ascii="Tahoma" w:hAnsi="Tahoma" w:cs="Tahoma"/>
          <w:sz w:val="22"/>
          <w:szCs w:val="22"/>
          <w:highlight w:val="yellow"/>
          <w:u w:val="single"/>
        </w:rPr>
        <w:t>α) Εγγυήσεις έναντι τρίτων</w:t>
      </w:r>
      <w:r w:rsidRPr="00485A4C">
        <w:rPr>
          <w:rFonts w:ascii="Tahoma" w:hAnsi="Tahoma" w:cs="Tahoma"/>
          <w:b/>
          <w:i/>
          <w:sz w:val="22"/>
          <w:szCs w:val="22"/>
          <w:highlight w:val="yellow"/>
          <w:u w:val="single"/>
        </w:rPr>
        <w:t xml:space="preserve"> </w:t>
      </w:r>
    </w:p>
    <w:p w:rsidR="00480197" w:rsidRPr="00485A4C" w:rsidRDefault="00463707" w:rsidP="00480197">
      <w:pPr>
        <w:autoSpaceDE w:val="0"/>
        <w:autoSpaceDN w:val="0"/>
        <w:adjustRightInd w:val="0"/>
        <w:spacing w:line="360" w:lineRule="auto"/>
        <w:ind w:left="-540"/>
        <w:jc w:val="both"/>
        <w:rPr>
          <w:rFonts w:ascii="Tahoma" w:hAnsi="Tahoma" w:cs="Tahoma"/>
          <w:sz w:val="22"/>
          <w:szCs w:val="22"/>
          <w:highlight w:val="yellow"/>
        </w:rPr>
      </w:pPr>
      <w:r w:rsidRPr="00485A4C">
        <w:rPr>
          <w:rFonts w:ascii="Tahoma" w:hAnsi="Tahoma" w:cs="Tahoma"/>
          <w:sz w:val="22"/>
          <w:szCs w:val="22"/>
          <w:highlight w:val="yellow"/>
        </w:rPr>
        <w:t>Ο Όμιλος</w:t>
      </w:r>
      <w:r w:rsidR="00480197" w:rsidRPr="00485A4C">
        <w:rPr>
          <w:rFonts w:ascii="Tahoma" w:hAnsi="Tahoma" w:cs="Tahoma"/>
          <w:sz w:val="22"/>
          <w:szCs w:val="22"/>
          <w:highlight w:val="yellow"/>
        </w:rPr>
        <w:t xml:space="preserve"> </w:t>
      </w:r>
      <w:r w:rsidR="00FF431D" w:rsidRPr="00485A4C">
        <w:rPr>
          <w:rFonts w:ascii="Tahoma" w:hAnsi="Tahoma" w:cs="Tahoma"/>
          <w:sz w:val="22"/>
          <w:szCs w:val="22"/>
          <w:highlight w:val="yellow"/>
        </w:rPr>
        <w:t xml:space="preserve">δεν </w:t>
      </w:r>
      <w:r w:rsidR="00480197" w:rsidRPr="00485A4C">
        <w:rPr>
          <w:rFonts w:ascii="Tahoma" w:hAnsi="Tahoma" w:cs="Tahoma"/>
          <w:sz w:val="22"/>
          <w:szCs w:val="22"/>
          <w:highlight w:val="yellow"/>
        </w:rPr>
        <w:t>έχει παραχωρήσει εγγυητικές επιστολές τραπεζών σε τρίτους  στα πλαίσια των συνήθων δραστηριοτήτων τ</w:t>
      </w:r>
      <w:r w:rsidR="00854530" w:rsidRPr="00485A4C">
        <w:rPr>
          <w:rFonts w:ascii="Tahoma" w:hAnsi="Tahoma" w:cs="Tahoma"/>
          <w:sz w:val="22"/>
          <w:szCs w:val="22"/>
          <w:highlight w:val="yellow"/>
        </w:rPr>
        <w:t>ου</w:t>
      </w:r>
      <w:r w:rsidR="00480197" w:rsidRPr="00485A4C">
        <w:rPr>
          <w:rFonts w:ascii="Tahoma" w:hAnsi="Tahoma" w:cs="Tahoma"/>
          <w:sz w:val="22"/>
          <w:szCs w:val="22"/>
          <w:highlight w:val="yellow"/>
        </w:rPr>
        <w:t>.</w:t>
      </w:r>
    </w:p>
    <w:p w:rsidR="00361496" w:rsidRPr="00485A4C" w:rsidRDefault="009675AA" w:rsidP="009675AA">
      <w:pPr>
        <w:autoSpaceDE w:val="0"/>
        <w:autoSpaceDN w:val="0"/>
        <w:adjustRightInd w:val="0"/>
        <w:spacing w:line="360" w:lineRule="auto"/>
        <w:ind w:left="-540"/>
        <w:jc w:val="both"/>
        <w:rPr>
          <w:rFonts w:ascii="Tahoma" w:hAnsi="Tahoma" w:cs="Tahoma"/>
          <w:sz w:val="22"/>
          <w:szCs w:val="22"/>
          <w:highlight w:val="yellow"/>
          <w:u w:val="single"/>
        </w:rPr>
      </w:pPr>
      <w:r w:rsidRPr="00485A4C">
        <w:rPr>
          <w:rFonts w:ascii="Tahoma" w:hAnsi="Tahoma" w:cs="Tahoma"/>
          <w:sz w:val="22"/>
          <w:szCs w:val="22"/>
          <w:highlight w:val="yellow"/>
          <w:u w:val="single"/>
        </w:rPr>
        <w:t xml:space="preserve">β) </w:t>
      </w:r>
      <w:r w:rsidR="00854530" w:rsidRPr="00485A4C">
        <w:rPr>
          <w:rFonts w:ascii="Tahoma" w:hAnsi="Tahoma" w:cs="Tahoma"/>
          <w:sz w:val="22"/>
          <w:szCs w:val="22"/>
          <w:highlight w:val="yellow"/>
          <w:u w:val="single"/>
        </w:rPr>
        <w:t>Ε</w:t>
      </w:r>
      <w:r w:rsidR="00361496" w:rsidRPr="00485A4C">
        <w:rPr>
          <w:rFonts w:ascii="Tahoma" w:hAnsi="Tahoma" w:cs="Tahoma"/>
          <w:sz w:val="22"/>
          <w:szCs w:val="22"/>
          <w:highlight w:val="yellow"/>
          <w:u w:val="single"/>
        </w:rPr>
        <w:t xml:space="preserve">πένδυσης κεφαλαίου </w:t>
      </w:r>
    </w:p>
    <w:p w:rsidR="00361496" w:rsidRPr="00485A4C" w:rsidRDefault="00FF431D" w:rsidP="00361496">
      <w:pPr>
        <w:spacing w:line="360" w:lineRule="auto"/>
        <w:ind w:left="-539"/>
        <w:jc w:val="both"/>
        <w:rPr>
          <w:rFonts w:ascii="Tahoma" w:hAnsi="Tahoma" w:cs="Tahoma"/>
          <w:sz w:val="22"/>
          <w:szCs w:val="22"/>
          <w:highlight w:val="yellow"/>
        </w:rPr>
      </w:pPr>
      <w:r w:rsidRPr="00485A4C">
        <w:rPr>
          <w:rFonts w:ascii="Tahoma" w:hAnsi="Tahoma" w:cs="Tahoma"/>
          <w:sz w:val="22"/>
          <w:szCs w:val="22"/>
          <w:highlight w:val="yellow"/>
        </w:rPr>
        <w:t>Δεν υπάρχουν δεσμεύσεις για επένδυση κεφαλαίου που έχουν αναληφθεί και δεν έχουν εκτελεστεί κατά την 31.12.201</w:t>
      </w:r>
      <w:r w:rsidR="00CA07BA" w:rsidRPr="00485A4C">
        <w:rPr>
          <w:rFonts w:ascii="Tahoma" w:hAnsi="Tahoma" w:cs="Tahoma"/>
          <w:sz w:val="22"/>
          <w:szCs w:val="22"/>
          <w:highlight w:val="yellow"/>
        </w:rPr>
        <w:t>7</w:t>
      </w:r>
      <w:r w:rsidR="00361496" w:rsidRPr="00485A4C">
        <w:rPr>
          <w:rFonts w:ascii="Tahoma" w:hAnsi="Tahoma" w:cs="Tahoma"/>
          <w:sz w:val="22"/>
          <w:szCs w:val="22"/>
          <w:highlight w:val="yellow"/>
        </w:rPr>
        <w:t>.</w:t>
      </w:r>
    </w:p>
    <w:p w:rsidR="00463707" w:rsidRPr="00485A4C" w:rsidRDefault="00463707" w:rsidP="00463707">
      <w:pPr>
        <w:autoSpaceDE w:val="0"/>
        <w:autoSpaceDN w:val="0"/>
        <w:adjustRightInd w:val="0"/>
        <w:spacing w:line="360" w:lineRule="auto"/>
        <w:ind w:left="-540"/>
        <w:jc w:val="both"/>
        <w:rPr>
          <w:rFonts w:ascii="Tahoma" w:hAnsi="Tahoma" w:cs="Tahoma"/>
          <w:sz w:val="22"/>
          <w:szCs w:val="22"/>
          <w:highlight w:val="yellow"/>
          <w:u w:val="single"/>
        </w:rPr>
      </w:pPr>
      <w:r w:rsidRPr="00485A4C">
        <w:rPr>
          <w:rFonts w:ascii="Tahoma" w:hAnsi="Tahoma" w:cs="Tahoma"/>
          <w:sz w:val="22"/>
          <w:szCs w:val="22"/>
          <w:highlight w:val="yellow"/>
          <w:u w:val="single"/>
        </w:rPr>
        <w:t>γ) Επίδικες υποχρεώσεις - απαιτήσεις</w:t>
      </w:r>
    </w:p>
    <w:p w:rsidR="00463707" w:rsidRPr="00485A4C" w:rsidRDefault="00463707" w:rsidP="00463707">
      <w:pPr>
        <w:spacing w:line="360" w:lineRule="auto"/>
        <w:ind w:left="-540"/>
        <w:jc w:val="both"/>
        <w:rPr>
          <w:rFonts w:ascii="Tahoma" w:hAnsi="Tahoma" w:cs="Tahoma"/>
          <w:sz w:val="22"/>
          <w:szCs w:val="22"/>
          <w:highlight w:val="yellow"/>
        </w:rPr>
      </w:pPr>
      <w:r w:rsidRPr="00485A4C">
        <w:rPr>
          <w:rFonts w:ascii="Tahoma" w:hAnsi="Tahoma" w:cs="Tahoma"/>
          <w:sz w:val="22"/>
          <w:szCs w:val="22"/>
          <w:highlight w:val="yellow"/>
        </w:rPr>
        <w:t>Δεν υπάρχουν επίδικες υποχρεώσεις και απαιτήσεις του ομίλου των οποίων η τυχούσα αρνητική ή θετική έκβαση θα έχει σημαντική επίπτωση στα αποτελέσματα του.</w:t>
      </w:r>
    </w:p>
    <w:p w:rsidR="00361496" w:rsidRPr="00485A4C" w:rsidRDefault="00361496" w:rsidP="00361496">
      <w:pPr>
        <w:autoSpaceDE w:val="0"/>
        <w:autoSpaceDN w:val="0"/>
        <w:adjustRightInd w:val="0"/>
        <w:spacing w:line="360" w:lineRule="auto"/>
        <w:ind w:left="-540"/>
        <w:jc w:val="both"/>
        <w:rPr>
          <w:rFonts w:ascii="Tahoma" w:hAnsi="Tahoma" w:cs="Tahoma"/>
          <w:sz w:val="22"/>
          <w:szCs w:val="22"/>
          <w:u w:val="single"/>
        </w:rPr>
      </w:pPr>
      <w:r w:rsidRPr="00485A4C">
        <w:rPr>
          <w:rFonts w:ascii="Tahoma" w:hAnsi="Tahoma" w:cs="Tahoma"/>
          <w:sz w:val="22"/>
          <w:szCs w:val="22"/>
          <w:u w:val="single"/>
        </w:rPr>
        <w:t>δ)Ανέλεγκτες φορολογικά χρήσεις</w:t>
      </w:r>
    </w:p>
    <w:p w:rsidR="00CB0868" w:rsidRPr="00485A4C" w:rsidRDefault="005D5E9C" w:rsidP="00361496">
      <w:pPr>
        <w:spacing w:line="360" w:lineRule="auto"/>
        <w:ind w:left="-540"/>
        <w:jc w:val="both"/>
        <w:rPr>
          <w:rFonts w:ascii="Tahoma" w:hAnsi="Tahoma" w:cs="Tahoma"/>
          <w:color w:val="FFFFFF" w:themeColor="background1"/>
          <w:sz w:val="22"/>
          <w:szCs w:val="22"/>
        </w:rPr>
      </w:pPr>
      <w:r w:rsidRPr="00485A4C">
        <w:rPr>
          <w:rFonts w:ascii="Tahoma" w:hAnsi="Tahoma" w:cs="Tahoma"/>
          <w:sz w:val="22"/>
          <w:szCs w:val="22"/>
        </w:rPr>
        <w:t xml:space="preserve">Η εταιρεία δεν έχει ελεγχθεί φορολογικά για τις χρήσεις </w:t>
      </w:r>
      <w:r w:rsidRPr="00AD4468">
        <w:rPr>
          <w:rFonts w:ascii="Tahoma" w:hAnsi="Tahoma" w:cs="Tahoma"/>
          <w:sz w:val="22"/>
          <w:szCs w:val="22"/>
          <w:highlight w:val="yellow"/>
        </w:rPr>
        <w:t>2011-201</w:t>
      </w:r>
      <w:r w:rsidR="00AD4468" w:rsidRPr="00AD4468">
        <w:rPr>
          <w:rFonts w:ascii="Tahoma" w:hAnsi="Tahoma" w:cs="Tahoma"/>
          <w:sz w:val="22"/>
          <w:szCs w:val="22"/>
          <w:highlight w:val="yellow"/>
        </w:rPr>
        <w:t>8</w:t>
      </w:r>
      <w:r w:rsidRPr="00485A4C">
        <w:rPr>
          <w:rFonts w:ascii="Tahoma" w:hAnsi="Tahoma" w:cs="Tahoma"/>
          <w:sz w:val="22"/>
          <w:szCs w:val="22"/>
        </w:rPr>
        <w:t xml:space="preserve"> και επομένως οι φορολογικές της υποχρεώσεις δεν έχουν καταστεί οριστικές για τις χρήσεις αυτές</w:t>
      </w:r>
      <w:r w:rsidRPr="00485A4C">
        <w:rPr>
          <w:rFonts w:ascii="Tahoma" w:hAnsi="Tahoma" w:cs="Tahoma"/>
          <w:color w:val="FFFFFF" w:themeColor="background1"/>
          <w:sz w:val="22"/>
          <w:szCs w:val="22"/>
        </w:rPr>
        <w:t>.</w:t>
      </w:r>
    </w:p>
    <w:p w:rsidR="00480197" w:rsidRPr="00485A4C" w:rsidRDefault="00480197" w:rsidP="00480197">
      <w:pPr>
        <w:rPr>
          <w:rFonts w:ascii="Tahoma" w:hAnsi="Tahoma" w:cs="Tahoma"/>
          <w:color w:val="FFFFFF" w:themeColor="background1"/>
          <w:sz w:val="22"/>
          <w:szCs w:val="22"/>
          <w:highlight w:val="yellow"/>
        </w:rPr>
      </w:pPr>
    </w:p>
    <w:p w:rsidR="00480197" w:rsidRPr="00485A4C" w:rsidRDefault="005D64C9" w:rsidP="00480197">
      <w:pPr>
        <w:pStyle w:val="Heading2"/>
        <w:spacing w:before="0" w:after="0" w:line="360" w:lineRule="auto"/>
        <w:ind w:left="-540"/>
        <w:rPr>
          <w:rFonts w:ascii="Tahoma" w:hAnsi="Tahoma" w:cs="Tahoma"/>
          <w:i w:val="0"/>
          <w:sz w:val="22"/>
          <w:szCs w:val="22"/>
        </w:rPr>
      </w:pPr>
      <w:bookmarkStart w:id="72" w:name="_Toc178753459"/>
      <w:bookmarkStart w:id="73" w:name="_Toc526260626"/>
      <w:r w:rsidRPr="00485A4C">
        <w:rPr>
          <w:rFonts w:ascii="Tahoma" w:hAnsi="Tahoma" w:cs="Tahoma"/>
          <w:i w:val="0"/>
          <w:sz w:val="22"/>
          <w:szCs w:val="22"/>
          <w:lang w:val="el-GR"/>
        </w:rPr>
        <w:t>7</w:t>
      </w:r>
      <w:r w:rsidR="00082146" w:rsidRPr="00485A4C">
        <w:rPr>
          <w:rFonts w:ascii="Tahoma" w:hAnsi="Tahoma" w:cs="Tahoma"/>
          <w:i w:val="0"/>
          <w:sz w:val="22"/>
          <w:szCs w:val="22"/>
        </w:rPr>
        <w:t>.</w:t>
      </w:r>
      <w:r w:rsidR="00C4012F" w:rsidRPr="00485A4C">
        <w:rPr>
          <w:rFonts w:ascii="Tahoma" w:hAnsi="Tahoma" w:cs="Tahoma"/>
          <w:i w:val="0"/>
          <w:sz w:val="22"/>
          <w:szCs w:val="22"/>
        </w:rPr>
        <w:t>2</w:t>
      </w:r>
      <w:r w:rsidR="00FF431D" w:rsidRPr="00485A4C">
        <w:rPr>
          <w:rFonts w:ascii="Tahoma" w:hAnsi="Tahoma" w:cs="Tahoma"/>
          <w:i w:val="0"/>
          <w:sz w:val="22"/>
          <w:szCs w:val="22"/>
          <w:lang w:val="el-GR"/>
        </w:rPr>
        <w:t>5</w:t>
      </w:r>
      <w:r w:rsidR="00480197" w:rsidRPr="00485A4C">
        <w:rPr>
          <w:rFonts w:ascii="Tahoma" w:hAnsi="Tahoma" w:cs="Tahoma"/>
          <w:i w:val="0"/>
          <w:sz w:val="22"/>
          <w:szCs w:val="22"/>
        </w:rPr>
        <w:t>. Συναλλαγές µε συνδεδεμένα μέρη</w:t>
      </w:r>
      <w:bookmarkEnd w:id="72"/>
      <w:bookmarkEnd w:id="73"/>
    </w:p>
    <w:p w:rsidR="00993B29" w:rsidRPr="00485A4C" w:rsidRDefault="00FF431D" w:rsidP="00993B29">
      <w:pPr>
        <w:spacing w:line="360" w:lineRule="auto"/>
        <w:ind w:left="-540"/>
        <w:jc w:val="both"/>
        <w:rPr>
          <w:rFonts w:ascii="Tahoma" w:hAnsi="Tahoma" w:cs="Tahoma"/>
          <w:sz w:val="22"/>
          <w:szCs w:val="22"/>
        </w:rPr>
      </w:pPr>
      <w:r w:rsidRPr="00485A4C">
        <w:rPr>
          <w:rFonts w:ascii="Tahoma" w:hAnsi="Tahoma" w:cs="Tahoma"/>
          <w:sz w:val="22"/>
          <w:szCs w:val="22"/>
        </w:rPr>
        <w:t xml:space="preserve"> </w:t>
      </w:r>
      <w:r w:rsidR="00993B29" w:rsidRPr="00485A4C">
        <w:rPr>
          <w:rFonts w:ascii="Tahoma" w:hAnsi="Tahoma" w:cs="Tahoma"/>
          <w:sz w:val="22"/>
          <w:szCs w:val="22"/>
        </w:rPr>
        <w:t>(</w:t>
      </w:r>
      <w:r w:rsidRPr="00485A4C">
        <w:rPr>
          <w:rFonts w:ascii="Tahoma" w:hAnsi="Tahoma" w:cs="Tahoma"/>
          <w:sz w:val="22"/>
          <w:szCs w:val="22"/>
        </w:rPr>
        <w:t>α</w:t>
      </w:r>
      <w:r w:rsidR="00993B29" w:rsidRPr="00485A4C">
        <w:rPr>
          <w:rFonts w:ascii="Tahoma" w:hAnsi="Tahoma" w:cs="Tahoma"/>
          <w:sz w:val="22"/>
          <w:szCs w:val="22"/>
        </w:rPr>
        <w:t xml:space="preserve">). </w:t>
      </w:r>
      <w:r w:rsidR="00993B29" w:rsidRPr="00485A4C">
        <w:rPr>
          <w:rFonts w:ascii="Tahoma" w:hAnsi="Tahoma" w:cs="Tahoma"/>
          <w:sz w:val="22"/>
          <w:szCs w:val="22"/>
          <w:u w:val="single"/>
        </w:rPr>
        <w:t>Μέλη Διοίκησης</w:t>
      </w:r>
      <w:r w:rsidR="00320CA6" w:rsidRPr="00485A4C">
        <w:rPr>
          <w:rFonts w:ascii="Tahoma" w:hAnsi="Tahoma" w:cs="Tahoma"/>
          <w:sz w:val="22"/>
          <w:szCs w:val="22"/>
          <w:u w:val="single"/>
        </w:rPr>
        <w:t xml:space="preserve"> &amp; διευθυντικά στελέχη</w:t>
      </w:r>
    </w:p>
    <w:p w:rsidR="009A68E4" w:rsidRPr="00485A4C" w:rsidRDefault="009A68E4" w:rsidP="00993B29">
      <w:pPr>
        <w:spacing w:line="360" w:lineRule="auto"/>
        <w:ind w:left="-540"/>
        <w:jc w:val="both"/>
        <w:rPr>
          <w:rFonts w:ascii="Tahoma" w:hAnsi="Tahoma" w:cs="Tahoma"/>
          <w:sz w:val="22"/>
          <w:szCs w:val="22"/>
        </w:rPr>
      </w:pPr>
      <w:r w:rsidRPr="00485A4C">
        <w:rPr>
          <w:rFonts w:ascii="Tahoma" w:hAnsi="Tahoma" w:cs="Tahoma"/>
          <w:sz w:val="22"/>
          <w:szCs w:val="22"/>
        </w:rPr>
        <w:t>-Δεν υπάρχουν στη δομή της Εταιρείας διευθυντικά στελέχη</w:t>
      </w:r>
    </w:p>
    <w:p w:rsidR="009A68E4" w:rsidRPr="00485A4C" w:rsidRDefault="009A68E4" w:rsidP="00993B29">
      <w:pPr>
        <w:spacing w:line="360" w:lineRule="auto"/>
        <w:ind w:left="-540"/>
        <w:jc w:val="both"/>
        <w:rPr>
          <w:rFonts w:ascii="Tahoma" w:hAnsi="Tahoma" w:cs="Tahoma"/>
          <w:sz w:val="22"/>
          <w:szCs w:val="22"/>
          <w:highlight w:val="yellow"/>
        </w:rPr>
      </w:pPr>
    </w:p>
    <w:p w:rsidR="00993B29" w:rsidRPr="00485A4C" w:rsidRDefault="00993B29" w:rsidP="00993B29">
      <w:pPr>
        <w:spacing w:line="360" w:lineRule="auto"/>
        <w:ind w:left="-540"/>
        <w:jc w:val="both"/>
        <w:rPr>
          <w:rFonts w:ascii="Tahoma" w:hAnsi="Tahoma" w:cs="Tahoma"/>
          <w:sz w:val="22"/>
          <w:szCs w:val="22"/>
        </w:rPr>
      </w:pPr>
      <w:r w:rsidRPr="00485A4C">
        <w:rPr>
          <w:rFonts w:ascii="Tahoma" w:hAnsi="Tahoma" w:cs="Tahoma"/>
          <w:sz w:val="22"/>
          <w:szCs w:val="22"/>
        </w:rPr>
        <w:t>-Συναλλαγές με Μέλη του Διοικητικού Συμβουλίου</w:t>
      </w:r>
      <w:r w:rsidR="008441C8" w:rsidRPr="00485A4C">
        <w:rPr>
          <w:rFonts w:ascii="Tahoma" w:hAnsi="Tahoma" w:cs="Tahoma"/>
          <w:sz w:val="22"/>
          <w:szCs w:val="22"/>
        </w:rPr>
        <w:t xml:space="preserve"> </w:t>
      </w:r>
      <w:r w:rsidR="00CA6B5C" w:rsidRPr="00485A4C">
        <w:rPr>
          <w:rFonts w:ascii="Tahoma" w:hAnsi="Tahoma" w:cs="Tahoma"/>
          <w:sz w:val="22"/>
          <w:szCs w:val="22"/>
        </w:rPr>
        <w:t>&amp; συγγενείς</w:t>
      </w:r>
      <w:r w:rsidR="00582E14" w:rsidRPr="00485A4C">
        <w:rPr>
          <w:rFonts w:ascii="Tahoma" w:hAnsi="Tahoma" w:cs="Tahoma"/>
          <w:sz w:val="22"/>
          <w:szCs w:val="22"/>
        </w:rPr>
        <w:t xml:space="preserve"> </w:t>
      </w:r>
    </w:p>
    <w:tbl>
      <w:tblPr>
        <w:tblW w:w="8528" w:type="dxa"/>
        <w:tblInd w:w="-567" w:type="dxa"/>
        <w:tblLook w:val="04A0" w:firstRow="1" w:lastRow="0" w:firstColumn="1" w:lastColumn="0" w:noHBand="0" w:noVBand="1"/>
      </w:tblPr>
      <w:tblGrid>
        <w:gridCol w:w="5096"/>
        <w:gridCol w:w="1716"/>
        <w:gridCol w:w="1716"/>
      </w:tblGrid>
      <w:tr w:rsidR="00AD4468" w:rsidTr="00AD4468">
        <w:trPr>
          <w:trHeight w:val="228"/>
        </w:trPr>
        <w:tc>
          <w:tcPr>
            <w:tcW w:w="5096" w:type="dxa"/>
            <w:tcBorders>
              <w:top w:val="nil"/>
              <w:left w:val="nil"/>
              <w:bottom w:val="nil"/>
              <w:right w:val="nil"/>
            </w:tcBorders>
            <w:shd w:val="clear" w:color="000000" w:fill="E6E6E6"/>
            <w:noWrap/>
            <w:vAlign w:val="bottom"/>
            <w:hideMark/>
          </w:tcPr>
          <w:p w:rsidR="00AD4468" w:rsidRDefault="00AD4468">
            <w:pPr>
              <w:jc w:val="center"/>
              <w:rPr>
                <w:rFonts w:ascii="Tahoma" w:hAnsi="Tahoma" w:cs="Tahoma"/>
                <w:b/>
                <w:bCs/>
                <w:sz w:val="18"/>
                <w:szCs w:val="18"/>
              </w:rPr>
            </w:pPr>
            <w:r>
              <w:rPr>
                <w:rFonts w:ascii="Tahoma" w:hAnsi="Tahoma" w:cs="Tahoma"/>
                <w:b/>
                <w:bCs/>
                <w:sz w:val="18"/>
                <w:szCs w:val="18"/>
              </w:rPr>
              <w:t>ΜΕΛΟΙ &amp; ΣΥΓΓΕΝΕΙΣ Δ.Σ.</w:t>
            </w:r>
          </w:p>
        </w:tc>
        <w:tc>
          <w:tcPr>
            <w:tcW w:w="1716" w:type="dxa"/>
            <w:tcBorders>
              <w:top w:val="nil"/>
              <w:left w:val="nil"/>
              <w:bottom w:val="nil"/>
              <w:right w:val="nil"/>
            </w:tcBorders>
            <w:shd w:val="clear" w:color="000000" w:fill="E6E6E6"/>
            <w:noWrap/>
            <w:vAlign w:val="bottom"/>
            <w:hideMark/>
          </w:tcPr>
          <w:p w:rsidR="00AD4468" w:rsidRDefault="00AD4468">
            <w:pPr>
              <w:jc w:val="center"/>
              <w:rPr>
                <w:rFonts w:ascii="Tahoma" w:hAnsi="Tahoma" w:cs="Tahoma"/>
                <w:b/>
                <w:bCs/>
                <w:sz w:val="18"/>
                <w:szCs w:val="18"/>
              </w:rPr>
            </w:pPr>
            <w:r>
              <w:rPr>
                <w:rFonts w:ascii="Tahoma" w:hAnsi="Tahoma" w:cs="Tahoma"/>
                <w:b/>
                <w:bCs/>
                <w:sz w:val="18"/>
                <w:szCs w:val="18"/>
              </w:rPr>
              <w:t>31.12.2018</w:t>
            </w:r>
          </w:p>
        </w:tc>
        <w:tc>
          <w:tcPr>
            <w:tcW w:w="1716" w:type="dxa"/>
            <w:tcBorders>
              <w:top w:val="nil"/>
              <w:left w:val="nil"/>
              <w:bottom w:val="nil"/>
              <w:right w:val="nil"/>
            </w:tcBorders>
            <w:shd w:val="clear" w:color="000000" w:fill="E6E6E6"/>
            <w:noWrap/>
            <w:vAlign w:val="bottom"/>
            <w:hideMark/>
          </w:tcPr>
          <w:p w:rsidR="00AD4468" w:rsidRDefault="00AD4468">
            <w:pPr>
              <w:jc w:val="center"/>
              <w:rPr>
                <w:rFonts w:ascii="Tahoma" w:hAnsi="Tahoma" w:cs="Tahoma"/>
                <w:b/>
                <w:bCs/>
                <w:sz w:val="18"/>
                <w:szCs w:val="18"/>
              </w:rPr>
            </w:pPr>
            <w:r>
              <w:rPr>
                <w:rFonts w:ascii="Tahoma" w:hAnsi="Tahoma" w:cs="Tahoma"/>
                <w:b/>
                <w:bCs/>
                <w:sz w:val="18"/>
                <w:szCs w:val="18"/>
              </w:rPr>
              <w:t>31.12.2017</w:t>
            </w:r>
          </w:p>
        </w:tc>
      </w:tr>
      <w:tr w:rsidR="00AD4468" w:rsidTr="00AD4468">
        <w:trPr>
          <w:trHeight w:val="360"/>
        </w:trPr>
        <w:tc>
          <w:tcPr>
            <w:tcW w:w="5096" w:type="dxa"/>
            <w:tcBorders>
              <w:top w:val="nil"/>
              <w:left w:val="nil"/>
              <w:bottom w:val="nil"/>
              <w:right w:val="nil"/>
            </w:tcBorders>
            <w:shd w:val="clear" w:color="auto" w:fill="auto"/>
            <w:noWrap/>
            <w:vAlign w:val="bottom"/>
            <w:hideMark/>
          </w:tcPr>
          <w:p w:rsidR="00AD4468" w:rsidRDefault="00AD4468">
            <w:pPr>
              <w:rPr>
                <w:rFonts w:ascii="Tahoma" w:hAnsi="Tahoma" w:cs="Tahoma"/>
                <w:b/>
                <w:bCs/>
                <w:color w:val="000000"/>
                <w:sz w:val="18"/>
                <w:szCs w:val="18"/>
              </w:rPr>
            </w:pPr>
            <w:r>
              <w:rPr>
                <w:rFonts w:ascii="Tahoma" w:hAnsi="Tahoma" w:cs="Tahoma"/>
                <w:b/>
                <w:bCs/>
                <w:color w:val="000000"/>
                <w:sz w:val="18"/>
                <w:szCs w:val="18"/>
              </w:rPr>
              <w:t>Βραχυπρόθεσμες παροχές :</w:t>
            </w:r>
          </w:p>
        </w:tc>
        <w:tc>
          <w:tcPr>
            <w:tcW w:w="1716" w:type="dxa"/>
            <w:tcBorders>
              <w:top w:val="nil"/>
              <w:left w:val="nil"/>
              <w:bottom w:val="nil"/>
              <w:right w:val="nil"/>
            </w:tcBorders>
            <w:shd w:val="clear" w:color="auto" w:fill="auto"/>
            <w:noWrap/>
            <w:vAlign w:val="bottom"/>
            <w:hideMark/>
          </w:tcPr>
          <w:p w:rsidR="00AD4468" w:rsidRDefault="00AD4468">
            <w:pPr>
              <w:rPr>
                <w:rFonts w:ascii="Tahoma" w:hAnsi="Tahoma" w:cs="Tahoma"/>
                <w:b/>
                <w:bCs/>
                <w:color w:val="000000"/>
                <w:sz w:val="18"/>
                <w:szCs w:val="18"/>
              </w:rPr>
            </w:pPr>
          </w:p>
        </w:tc>
        <w:tc>
          <w:tcPr>
            <w:tcW w:w="1716" w:type="dxa"/>
            <w:tcBorders>
              <w:top w:val="nil"/>
              <w:left w:val="nil"/>
              <w:bottom w:val="nil"/>
              <w:right w:val="nil"/>
            </w:tcBorders>
            <w:shd w:val="clear" w:color="auto" w:fill="auto"/>
            <w:noWrap/>
            <w:vAlign w:val="bottom"/>
            <w:hideMark/>
          </w:tcPr>
          <w:p w:rsidR="00AD4468" w:rsidRDefault="00AD4468">
            <w:pPr>
              <w:jc w:val="right"/>
              <w:rPr>
                <w:sz w:val="20"/>
                <w:szCs w:val="20"/>
              </w:rPr>
            </w:pPr>
          </w:p>
        </w:tc>
      </w:tr>
      <w:tr w:rsidR="00AD4468" w:rsidTr="00AD4468">
        <w:trPr>
          <w:trHeight w:val="360"/>
        </w:trPr>
        <w:tc>
          <w:tcPr>
            <w:tcW w:w="5096" w:type="dxa"/>
            <w:tcBorders>
              <w:top w:val="nil"/>
              <w:left w:val="nil"/>
              <w:bottom w:val="nil"/>
              <w:right w:val="nil"/>
            </w:tcBorders>
            <w:shd w:val="clear" w:color="auto" w:fill="auto"/>
            <w:noWrap/>
            <w:vAlign w:val="bottom"/>
            <w:hideMark/>
          </w:tcPr>
          <w:p w:rsidR="00AD4468" w:rsidRDefault="00AD4468">
            <w:pPr>
              <w:rPr>
                <w:rFonts w:ascii="Tahoma" w:hAnsi="Tahoma" w:cs="Tahoma"/>
                <w:color w:val="000000"/>
                <w:sz w:val="18"/>
                <w:szCs w:val="18"/>
              </w:rPr>
            </w:pPr>
            <w:r>
              <w:rPr>
                <w:rFonts w:ascii="Tahoma" w:hAnsi="Tahoma" w:cs="Tahoma"/>
                <w:color w:val="000000"/>
                <w:sz w:val="18"/>
                <w:szCs w:val="18"/>
              </w:rPr>
              <w:t>Μισθοί</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88.480,08</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56.147,46</w:t>
            </w:r>
          </w:p>
        </w:tc>
      </w:tr>
      <w:tr w:rsidR="00AD4468" w:rsidTr="00AD4468">
        <w:trPr>
          <w:trHeight w:val="360"/>
        </w:trPr>
        <w:tc>
          <w:tcPr>
            <w:tcW w:w="5096" w:type="dxa"/>
            <w:tcBorders>
              <w:top w:val="nil"/>
              <w:left w:val="nil"/>
              <w:bottom w:val="nil"/>
              <w:right w:val="nil"/>
            </w:tcBorders>
            <w:shd w:val="clear" w:color="auto" w:fill="auto"/>
            <w:noWrap/>
            <w:vAlign w:val="bottom"/>
            <w:hideMark/>
          </w:tcPr>
          <w:p w:rsidR="00AD4468" w:rsidRDefault="00AD4468">
            <w:pPr>
              <w:rPr>
                <w:rFonts w:ascii="Tahoma" w:hAnsi="Tahoma" w:cs="Tahoma"/>
                <w:color w:val="000000"/>
                <w:sz w:val="18"/>
                <w:szCs w:val="18"/>
              </w:rPr>
            </w:pPr>
            <w:r>
              <w:rPr>
                <w:rFonts w:ascii="Tahoma" w:hAnsi="Tahoma" w:cs="Tahoma"/>
                <w:color w:val="000000"/>
                <w:sz w:val="18"/>
                <w:szCs w:val="18"/>
              </w:rPr>
              <w:t xml:space="preserve">Κόστος κοινωνικής ασφάλισης </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23.594,00</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11.718,39</w:t>
            </w:r>
          </w:p>
        </w:tc>
      </w:tr>
      <w:tr w:rsidR="00AD4468" w:rsidTr="00AD4468">
        <w:trPr>
          <w:trHeight w:val="360"/>
        </w:trPr>
        <w:tc>
          <w:tcPr>
            <w:tcW w:w="5096" w:type="dxa"/>
            <w:tcBorders>
              <w:top w:val="nil"/>
              <w:left w:val="nil"/>
              <w:bottom w:val="nil"/>
              <w:right w:val="nil"/>
            </w:tcBorders>
            <w:shd w:val="clear" w:color="auto" w:fill="auto"/>
            <w:noWrap/>
            <w:vAlign w:val="bottom"/>
            <w:hideMark/>
          </w:tcPr>
          <w:p w:rsidR="00AD4468" w:rsidRDefault="00AD4468">
            <w:pPr>
              <w:rPr>
                <w:rFonts w:ascii="Tahoma" w:hAnsi="Tahoma" w:cs="Tahoma"/>
                <w:color w:val="000000"/>
                <w:sz w:val="18"/>
                <w:szCs w:val="18"/>
              </w:rPr>
            </w:pPr>
            <w:r>
              <w:rPr>
                <w:rFonts w:ascii="Tahoma" w:hAnsi="Tahoma" w:cs="Tahoma"/>
                <w:color w:val="000000"/>
                <w:sz w:val="18"/>
                <w:szCs w:val="18"/>
              </w:rPr>
              <w:t xml:space="preserve">Αμοιβές Μελών Δ.Σ. από κέρδη χρήσης </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0,00</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0,00</w:t>
            </w:r>
          </w:p>
        </w:tc>
      </w:tr>
      <w:tr w:rsidR="00AD4468" w:rsidTr="00AD4468">
        <w:trPr>
          <w:trHeight w:val="360"/>
        </w:trPr>
        <w:tc>
          <w:tcPr>
            <w:tcW w:w="5096" w:type="dxa"/>
            <w:tcBorders>
              <w:top w:val="nil"/>
              <w:left w:val="nil"/>
              <w:bottom w:val="nil"/>
              <w:right w:val="nil"/>
            </w:tcBorders>
            <w:shd w:val="clear" w:color="auto" w:fill="auto"/>
            <w:noWrap/>
            <w:vAlign w:val="bottom"/>
            <w:hideMark/>
          </w:tcPr>
          <w:p w:rsidR="00AD4468" w:rsidRDefault="00AD4468">
            <w:pPr>
              <w:rPr>
                <w:rFonts w:ascii="Tahoma" w:hAnsi="Tahoma" w:cs="Tahoma"/>
                <w:color w:val="000000"/>
                <w:sz w:val="18"/>
                <w:szCs w:val="18"/>
              </w:rPr>
            </w:pPr>
            <w:r>
              <w:rPr>
                <w:rFonts w:ascii="Tahoma" w:hAnsi="Tahoma" w:cs="Tahoma"/>
                <w:color w:val="000000"/>
                <w:sz w:val="18"/>
                <w:szCs w:val="18"/>
              </w:rPr>
              <w:t>Πρόσθετες παροχές</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0,00</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0,00</w:t>
            </w:r>
          </w:p>
        </w:tc>
      </w:tr>
      <w:tr w:rsidR="00AD4468" w:rsidTr="00AD4468">
        <w:trPr>
          <w:trHeight w:val="360"/>
        </w:trPr>
        <w:tc>
          <w:tcPr>
            <w:tcW w:w="5096" w:type="dxa"/>
            <w:tcBorders>
              <w:top w:val="nil"/>
              <w:left w:val="nil"/>
              <w:bottom w:val="nil"/>
              <w:right w:val="nil"/>
            </w:tcBorders>
            <w:shd w:val="clear" w:color="auto" w:fill="auto"/>
            <w:noWrap/>
            <w:vAlign w:val="bottom"/>
            <w:hideMark/>
          </w:tcPr>
          <w:p w:rsidR="00AD4468" w:rsidRDefault="00AD4468">
            <w:pPr>
              <w:rPr>
                <w:rFonts w:ascii="Tahoma" w:hAnsi="Tahoma" w:cs="Tahoma"/>
                <w:color w:val="000000"/>
                <w:sz w:val="18"/>
                <w:szCs w:val="18"/>
              </w:rPr>
            </w:pPr>
            <w:r>
              <w:rPr>
                <w:rFonts w:ascii="Tahoma" w:hAnsi="Tahoma" w:cs="Tahoma"/>
                <w:color w:val="000000"/>
                <w:sz w:val="18"/>
                <w:szCs w:val="18"/>
              </w:rPr>
              <w:t>Λοιπές συναλλαγές</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0,00</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0,00</w:t>
            </w:r>
          </w:p>
        </w:tc>
      </w:tr>
      <w:tr w:rsidR="00AD4468" w:rsidTr="00AD4468">
        <w:trPr>
          <w:trHeight w:val="360"/>
        </w:trPr>
        <w:tc>
          <w:tcPr>
            <w:tcW w:w="5096" w:type="dxa"/>
            <w:tcBorders>
              <w:top w:val="nil"/>
              <w:left w:val="nil"/>
              <w:bottom w:val="nil"/>
              <w:right w:val="nil"/>
            </w:tcBorders>
            <w:shd w:val="clear" w:color="auto" w:fill="auto"/>
            <w:noWrap/>
            <w:vAlign w:val="bottom"/>
            <w:hideMark/>
          </w:tcPr>
          <w:p w:rsidR="00AD4468" w:rsidRDefault="00AD4468">
            <w:pPr>
              <w:rPr>
                <w:rFonts w:ascii="Tahoma" w:hAnsi="Tahoma" w:cs="Tahoma"/>
                <w:b/>
                <w:bCs/>
                <w:color w:val="000000"/>
                <w:sz w:val="18"/>
                <w:szCs w:val="18"/>
              </w:rPr>
            </w:pPr>
            <w:r>
              <w:rPr>
                <w:rFonts w:ascii="Tahoma" w:hAnsi="Tahoma" w:cs="Tahoma"/>
                <w:b/>
                <w:bCs/>
                <w:color w:val="000000"/>
                <w:sz w:val="18"/>
                <w:szCs w:val="18"/>
              </w:rPr>
              <w:t>Μακροπρόθεσμες παροχές:</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Δεν υπάρχουν</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Δεν υπάρχουν</w:t>
            </w:r>
          </w:p>
        </w:tc>
      </w:tr>
      <w:tr w:rsidR="00AD4468" w:rsidTr="00AD4468">
        <w:trPr>
          <w:trHeight w:val="360"/>
        </w:trPr>
        <w:tc>
          <w:tcPr>
            <w:tcW w:w="5096" w:type="dxa"/>
            <w:tcBorders>
              <w:top w:val="nil"/>
              <w:left w:val="nil"/>
              <w:bottom w:val="nil"/>
              <w:right w:val="nil"/>
            </w:tcBorders>
            <w:shd w:val="clear" w:color="auto" w:fill="auto"/>
            <w:noWrap/>
            <w:vAlign w:val="bottom"/>
            <w:hideMark/>
          </w:tcPr>
          <w:p w:rsidR="00AD4468" w:rsidRDefault="00AD4468">
            <w:pPr>
              <w:rPr>
                <w:rFonts w:ascii="Tahoma" w:hAnsi="Tahoma" w:cs="Tahoma"/>
                <w:b/>
                <w:bCs/>
                <w:color w:val="000000"/>
                <w:sz w:val="18"/>
                <w:szCs w:val="18"/>
              </w:rPr>
            </w:pPr>
            <w:r>
              <w:rPr>
                <w:rFonts w:ascii="Tahoma" w:hAnsi="Tahoma" w:cs="Tahoma"/>
                <w:b/>
                <w:bCs/>
                <w:color w:val="000000"/>
                <w:sz w:val="18"/>
                <w:szCs w:val="18"/>
              </w:rPr>
              <w:t xml:space="preserve"> Παροχές μετά την έξοδο από την υπηρεσία:</w:t>
            </w:r>
          </w:p>
        </w:tc>
        <w:tc>
          <w:tcPr>
            <w:tcW w:w="1716" w:type="dxa"/>
            <w:tcBorders>
              <w:top w:val="nil"/>
              <w:left w:val="nil"/>
              <w:bottom w:val="nil"/>
              <w:right w:val="nil"/>
            </w:tcBorders>
            <w:shd w:val="clear" w:color="auto" w:fill="auto"/>
            <w:noWrap/>
            <w:vAlign w:val="bottom"/>
            <w:hideMark/>
          </w:tcPr>
          <w:p w:rsidR="00AD4468" w:rsidRDefault="00AD4468">
            <w:pPr>
              <w:rPr>
                <w:rFonts w:ascii="Tahoma" w:hAnsi="Tahoma" w:cs="Tahoma"/>
                <w:b/>
                <w:bCs/>
                <w:color w:val="000000"/>
                <w:sz w:val="18"/>
                <w:szCs w:val="18"/>
              </w:rPr>
            </w:pPr>
          </w:p>
        </w:tc>
        <w:tc>
          <w:tcPr>
            <w:tcW w:w="1716" w:type="dxa"/>
            <w:tcBorders>
              <w:top w:val="nil"/>
              <w:left w:val="nil"/>
              <w:bottom w:val="nil"/>
              <w:right w:val="nil"/>
            </w:tcBorders>
            <w:shd w:val="clear" w:color="auto" w:fill="auto"/>
            <w:noWrap/>
            <w:vAlign w:val="bottom"/>
            <w:hideMark/>
          </w:tcPr>
          <w:p w:rsidR="00AD4468" w:rsidRDefault="00AD4468">
            <w:pPr>
              <w:jc w:val="right"/>
              <w:rPr>
                <w:sz w:val="20"/>
                <w:szCs w:val="20"/>
              </w:rPr>
            </w:pPr>
          </w:p>
        </w:tc>
      </w:tr>
      <w:tr w:rsidR="00AD4468" w:rsidTr="00AD4468">
        <w:trPr>
          <w:trHeight w:val="360"/>
        </w:trPr>
        <w:tc>
          <w:tcPr>
            <w:tcW w:w="5096" w:type="dxa"/>
            <w:tcBorders>
              <w:top w:val="nil"/>
              <w:left w:val="nil"/>
              <w:bottom w:val="nil"/>
              <w:right w:val="nil"/>
            </w:tcBorders>
            <w:shd w:val="clear" w:color="auto" w:fill="auto"/>
            <w:noWrap/>
            <w:vAlign w:val="bottom"/>
            <w:hideMark/>
          </w:tcPr>
          <w:p w:rsidR="00AD4468" w:rsidRDefault="00AD4468">
            <w:pPr>
              <w:rPr>
                <w:rFonts w:ascii="Tahoma" w:hAnsi="Tahoma" w:cs="Tahoma"/>
                <w:color w:val="000000"/>
                <w:sz w:val="18"/>
                <w:szCs w:val="18"/>
              </w:rPr>
            </w:pPr>
            <w:r>
              <w:rPr>
                <w:rFonts w:ascii="Tahoma" w:hAnsi="Tahoma" w:cs="Tahoma"/>
                <w:color w:val="000000"/>
                <w:sz w:val="18"/>
                <w:szCs w:val="18"/>
              </w:rPr>
              <w:lastRenderedPageBreak/>
              <w:t>Αποζημιώσεις σύνταξης</w:t>
            </w:r>
          </w:p>
        </w:tc>
        <w:tc>
          <w:tcPr>
            <w:tcW w:w="1716" w:type="dxa"/>
            <w:tcBorders>
              <w:top w:val="nil"/>
              <w:left w:val="nil"/>
              <w:bottom w:val="nil"/>
              <w:right w:val="nil"/>
            </w:tcBorders>
            <w:shd w:val="clear" w:color="auto" w:fill="auto"/>
            <w:noWrap/>
            <w:vAlign w:val="bottom"/>
            <w:hideMark/>
          </w:tcPr>
          <w:p w:rsidR="00AD4468" w:rsidRDefault="00AD4468">
            <w:pPr>
              <w:jc w:val="center"/>
              <w:rPr>
                <w:rFonts w:ascii="Tahoma" w:hAnsi="Tahoma" w:cs="Tahoma"/>
                <w:color w:val="000000"/>
                <w:sz w:val="18"/>
                <w:szCs w:val="18"/>
              </w:rPr>
            </w:pPr>
            <w:r>
              <w:rPr>
                <w:rFonts w:ascii="Tahoma" w:hAnsi="Tahoma" w:cs="Tahoma"/>
                <w:color w:val="000000"/>
                <w:sz w:val="18"/>
                <w:szCs w:val="18"/>
              </w:rPr>
              <w:t>-</w:t>
            </w:r>
          </w:p>
        </w:tc>
        <w:tc>
          <w:tcPr>
            <w:tcW w:w="1716" w:type="dxa"/>
            <w:tcBorders>
              <w:top w:val="nil"/>
              <w:left w:val="nil"/>
              <w:bottom w:val="nil"/>
              <w:right w:val="nil"/>
            </w:tcBorders>
            <w:shd w:val="clear" w:color="auto" w:fill="auto"/>
            <w:noWrap/>
            <w:vAlign w:val="bottom"/>
            <w:hideMark/>
          </w:tcPr>
          <w:p w:rsidR="00AD4468" w:rsidRDefault="00AD4468">
            <w:pPr>
              <w:jc w:val="center"/>
              <w:rPr>
                <w:rFonts w:ascii="Tahoma" w:hAnsi="Tahoma" w:cs="Tahoma"/>
                <w:color w:val="000000"/>
                <w:sz w:val="18"/>
                <w:szCs w:val="18"/>
              </w:rPr>
            </w:pPr>
            <w:r>
              <w:rPr>
                <w:rFonts w:ascii="Tahoma" w:hAnsi="Tahoma" w:cs="Tahoma"/>
                <w:color w:val="000000"/>
                <w:sz w:val="18"/>
                <w:szCs w:val="18"/>
              </w:rPr>
              <w:t>-</w:t>
            </w:r>
          </w:p>
        </w:tc>
      </w:tr>
      <w:tr w:rsidR="00AD4468" w:rsidTr="00AD4468">
        <w:trPr>
          <w:trHeight w:val="360"/>
        </w:trPr>
        <w:tc>
          <w:tcPr>
            <w:tcW w:w="5096" w:type="dxa"/>
            <w:tcBorders>
              <w:top w:val="nil"/>
              <w:left w:val="nil"/>
              <w:bottom w:val="nil"/>
              <w:right w:val="nil"/>
            </w:tcBorders>
            <w:shd w:val="clear" w:color="auto" w:fill="auto"/>
            <w:noWrap/>
            <w:vAlign w:val="bottom"/>
            <w:hideMark/>
          </w:tcPr>
          <w:p w:rsidR="00AD4468" w:rsidRDefault="00AD4468">
            <w:pPr>
              <w:rPr>
                <w:rFonts w:ascii="Tahoma" w:hAnsi="Tahoma" w:cs="Tahoma"/>
                <w:b/>
                <w:bCs/>
                <w:color w:val="000000"/>
                <w:sz w:val="18"/>
                <w:szCs w:val="18"/>
              </w:rPr>
            </w:pPr>
            <w:r>
              <w:rPr>
                <w:rFonts w:ascii="Tahoma" w:hAnsi="Tahoma" w:cs="Tahoma"/>
                <w:b/>
                <w:bCs/>
                <w:color w:val="000000"/>
                <w:sz w:val="18"/>
                <w:szCs w:val="18"/>
              </w:rPr>
              <w:t>Παροχές που εξαρτώνται από την αξία των μετοχών:</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Δεν υπάρχουν</w:t>
            </w:r>
          </w:p>
        </w:tc>
        <w:tc>
          <w:tcPr>
            <w:tcW w:w="1716" w:type="dxa"/>
            <w:tcBorders>
              <w:top w:val="nil"/>
              <w:left w:val="nil"/>
              <w:bottom w:val="nil"/>
              <w:right w:val="nil"/>
            </w:tcBorders>
            <w:shd w:val="clear" w:color="auto" w:fill="auto"/>
            <w:noWrap/>
            <w:vAlign w:val="bottom"/>
            <w:hideMark/>
          </w:tcPr>
          <w:p w:rsidR="00AD4468" w:rsidRDefault="00AD4468">
            <w:pPr>
              <w:jc w:val="right"/>
              <w:rPr>
                <w:rFonts w:ascii="Tahoma" w:hAnsi="Tahoma" w:cs="Tahoma"/>
                <w:color w:val="000000"/>
                <w:sz w:val="18"/>
                <w:szCs w:val="18"/>
              </w:rPr>
            </w:pPr>
            <w:r>
              <w:rPr>
                <w:rFonts w:ascii="Tahoma" w:hAnsi="Tahoma" w:cs="Tahoma"/>
                <w:color w:val="000000"/>
                <w:sz w:val="18"/>
                <w:szCs w:val="18"/>
              </w:rPr>
              <w:t>Δεν υπάρχουν</w:t>
            </w:r>
          </w:p>
        </w:tc>
      </w:tr>
    </w:tbl>
    <w:p w:rsidR="00FF431D" w:rsidRPr="00485A4C" w:rsidRDefault="00FF431D" w:rsidP="007A528B">
      <w:pPr>
        <w:spacing w:line="360" w:lineRule="auto"/>
        <w:ind w:left="-540"/>
        <w:jc w:val="both"/>
        <w:rPr>
          <w:rFonts w:ascii="Tahoma" w:hAnsi="Tahoma" w:cs="Tahoma"/>
          <w:sz w:val="22"/>
          <w:szCs w:val="22"/>
          <w:highlight w:val="red"/>
        </w:rPr>
      </w:pPr>
    </w:p>
    <w:p w:rsidR="004E7897" w:rsidRPr="00485A4C" w:rsidRDefault="004E7897" w:rsidP="00FF431D">
      <w:pPr>
        <w:spacing w:line="360" w:lineRule="auto"/>
        <w:ind w:left="-540"/>
        <w:jc w:val="both"/>
        <w:rPr>
          <w:rFonts w:ascii="Tahoma" w:hAnsi="Tahoma" w:cs="Tahoma"/>
          <w:color w:val="FF0000"/>
          <w:sz w:val="22"/>
          <w:szCs w:val="22"/>
          <w:highlight w:val="yellow"/>
        </w:rPr>
      </w:pPr>
    </w:p>
    <w:p w:rsidR="007A528B" w:rsidRPr="00485A4C" w:rsidRDefault="00FF431D" w:rsidP="00FF431D">
      <w:pPr>
        <w:spacing w:line="360" w:lineRule="auto"/>
        <w:ind w:left="-540"/>
        <w:jc w:val="both"/>
        <w:rPr>
          <w:rFonts w:ascii="Tahoma" w:hAnsi="Tahoma" w:cs="Tahoma"/>
          <w:sz w:val="22"/>
          <w:szCs w:val="22"/>
        </w:rPr>
      </w:pPr>
      <w:r w:rsidRPr="00485A4C">
        <w:rPr>
          <w:rFonts w:ascii="Tahoma" w:hAnsi="Tahoma" w:cs="Tahoma"/>
          <w:sz w:val="22"/>
          <w:szCs w:val="22"/>
        </w:rPr>
        <w:t xml:space="preserve">Υπάρχουν υποχρεώσεις προς τα μέλη της Διοίκησης και συγγενικά τους πρόσωπα ποσού € </w:t>
      </w:r>
      <w:r w:rsidR="004E7897" w:rsidRPr="00485A4C">
        <w:rPr>
          <w:rFonts w:ascii="Tahoma" w:hAnsi="Tahoma" w:cs="Tahoma"/>
          <w:sz w:val="22"/>
          <w:szCs w:val="22"/>
        </w:rPr>
        <w:t>1.064.71</w:t>
      </w:r>
      <w:r w:rsidRPr="00485A4C">
        <w:rPr>
          <w:rFonts w:ascii="Tahoma" w:hAnsi="Tahoma" w:cs="Tahoma"/>
          <w:sz w:val="22"/>
          <w:szCs w:val="22"/>
        </w:rPr>
        <w:t>.</w:t>
      </w:r>
    </w:p>
    <w:p w:rsidR="00480197" w:rsidRPr="00485A4C" w:rsidRDefault="00480197" w:rsidP="00480197">
      <w:pPr>
        <w:spacing w:line="360" w:lineRule="auto"/>
        <w:ind w:left="-540"/>
        <w:jc w:val="both"/>
        <w:rPr>
          <w:rFonts w:ascii="Tahoma" w:hAnsi="Tahoma" w:cs="Tahoma"/>
          <w:sz w:val="22"/>
          <w:szCs w:val="22"/>
          <w:highlight w:val="red"/>
        </w:rPr>
      </w:pPr>
    </w:p>
    <w:p w:rsidR="00480197" w:rsidRPr="00485A4C" w:rsidRDefault="005D64C9" w:rsidP="005D64C9">
      <w:pPr>
        <w:pStyle w:val="Heading2"/>
        <w:spacing w:before="0" w:after="0" w:line="360" w:lineRule="auto"/>
        <w:ind w:left="-540"/>
        <w:rPr>
          <w:rFonts w:ascii="Tahoma" w:hAnsi="Tahoma" w:cs="Tahoma"/>
          <w:i w:val="0"/>
          <w:sz w:val="22"/>
          <w:szCs w:val="22"/>
        </w:rPr>
      </w:pPr>
      <w:bookmarkStart w:id="74" w:name="_Toc178753460"/>
      <w:bookmarkStart w:id="75" w:name="_Toc526260627"/>
      <w:r w:rsidRPr="00485A4C">
        <w:rPr>
          <w:rFonts w:ascii="Tahoma" w:hAnsi="Tahoma" w:cs="Tahoma"/>
          <w:i w:val="0"/>
          <w:sz w:val="22"/>
          <w:szCs w:val="22"/>
        </w:rPr>
        <w:t>7</w:t>
      </w:r>
      <w:r w:rsidR="00480197" w:rsidRPr="00485A4C">
        <w:rPr>
          <w:rFonts w:ascii="Tahoma" w:hAnsi="Tahoma" w:cs="Tahoma"/>
          <w:i w:val="0"/>
          <w:sz w:val="22"/>
          <w:szCs w:val="22"/>
        </w:rPr>
        <w:t>.</w:t>
      </w:r>
      <w:r w:rsidR="00C4012F" w:rsidRPr="00485A4C">
        <w:rPr>
          <w:rFonts w:ascii="Tahoma" w:hAnsi="Tahoma" w:cs="Tahoma"/>
          <w:i w:val="0"/>
          <w:sz w:val="22"/>
          <w:szCs w:val="22"/>
        </w:rPr>
        <w:t>2</w:t>
      </w:r>
      <w:r w:rsidR="000251D7" w:rsidRPr="00485A4C">
        <w:rPr>
          <w:rFonts w:ascii="Tahoma" w:hAnsi="Tahoma" w:cs="Tahoma"/>
          <w:i w:val="0"/>
          <w:sz w:val="22"/>
          <w:szCs w:val="22"/>
          <w:lang w:val="el-GR"/>
        </w:rPr>
        <w:t>6</w:t>
      </w:r>
      <w:r w:rsidR="00082146" w:rsidRPr="00485A4C">
        <w:rPr>
          <w:rFonts w:ascii="Tahoma" w:hAnsi="Tahoma" w:cs="Tahoma"/>
          <w:i w:val="0"/>
          <w:sz w:val="22"/>
          <w:szCs w:val="22"/>
        </w:rPr>
        <w:t>.</w:t>
      </w:r>
      <w:r w:rsidR="00480197" w:rsidRPr="00485A4C">
        <w:rPr>
          <w:rFonts w:ascii="Tahoma" w:hAnsi="Tahoma" w:cs="Tahoma"/>
          <w:i w:val="0"/>
          <w:sz w:val="22"/>
          <w:szCs w:val="22"/>
        </w:rPr>
        <w:t xml:space="preserve"> Γεγονότα μετά την ημερομηνία του ισολογισμού</w:t>
      </w:r>
      <w:bookmarkEnd w:id="74"/>
      <w:bookmarkEnd w:id="75"/>
    </w:p>
    <w:p w:rsidR="00480197" w:rsidRPr="00485A4C" w:rsidRDefault="00BE65F3" w:rsidP="00480197">
      <w:pPr>
        <w:spacing w:line="360" w:lineRule="auto"/>
        <w:ind w:left="-540"/>
        <w:jc w:val="both"/>
        <w:rPr>
          <w:rFonts w:ascii="Tahoma" w:hAnsi="Tahoma" w:cs="Tahoma"/>
          <w:sz w:val="22"/>
          <w:szCs w:val="22"/>
        </w:rPr>
      </w:pPr>
      <w:r w:rsidRPr="00485A4C">
        <w:rPr>
          <w:rFonts w:ascii="Tahoma" w:hAnsi="Tahoma" w:cs="Tahoma"/>
          <w:sz w:val="22"/>
          <w:szCs w:val="22"/>
        </w:rPr>
        <w:t>Δ</w:t>
      </w:r>
      <w:r w:rsidR="00480197" w:rsidRPr="00485A4C">
        <w:rPr>
          <w:rFonts w:ascii="Tahoma" w:hAnsi="Tahoma" w:cs="Tahoma"/>
          <w:sz w:val="22"/>
          <w:szCs w:val="22"/>
        </w:rPr>
        <w:t xml:space="preserve">εν υπάρχουν μεταγενέστερα των οικονομικών καταστάσεων γεγονότα, τα οποία να αφορούν την Εταιρεία, στα οποία επιβάλλεται αναφορά από τα Διεθνή Πρότυπα </w:t>
      </w:r>
      <w:r w:rsidR="0038021F" w:rsidRPr="00485A4C">
        <w:rPr>
          <w:rFonts w:ascii="Tahoma" w:hAnsi="Tahoma" w:cs="Tahoma"/>
          <w:sz w:val="22"/>
          <w:szCs w:val="22"/>
        </w:rPr>
        <w:t>Χρηματοοικονομικής Αναφοράς (Δ.</w:t>
      </w:r>
      <w:r w:rsidR="00480197" w:rsidRPr="00485A4C">
        <w:rPr>
          <w:rFonts w:ascii="Tahoma" w:hAnsi="Tahoma" w:cs="Tahoma"/>
          <w:sz w:val="22"/>
          <w:szCs w:val="22"/>
        </w:rPr>
        <w:t>Π</w:t>
      </w:r>
      <w:r w:rsidR="0038021F" w:rsidRPr="00485A4C">
        <w:rPr>
          <w:rFonts w:ascii="Tahoma" w:hAnsi="Tahoma" w:cs="Tahoma"/>
          <w:sz w:val="22"/>
          <w:szCs w:val="22"/>
        </w:rPr>
        <w:t>.Χ.Α.</w:t>
      </w:r>
      <w:r w:rsidR="00480197" w:rsidRPr="00485A4C">
        <w:rPr>
          <w:rFonts w:ascii="Tahoma" w:hAnsi="Tahoma" w:cs="Tahoma"/>
          <w:sz w:val="22"/>
          <w:szCs w:val="22"/>
        </w:rPr>
        <w:t>).</w:t>
      </w:r>
    </w:p>
    <w:p w:rsidR="00582E14" w:rsidRPr="00485A4C" w:rsidRDefault="00582E14" w:rsidP="00480197">
      <w:pPr>
        <w:spacing w:line="360" w:lineRule="auto"/>
        <w:ind w:left="-540"/>
        <w:jc w:val="both"/>
        <w:rPr>
          <w:rFonts w:ascii="Tahoma" w:hAnsi="Tahoma" w:cs="Tahoma"/>
          <w:sz w:val="22"/>
          <w:szCs w:val="22"/>
          <w:highlight w:val="red"/>
        </w:rPr>
      </w:pPr>
    </w:p>
    <w:p w:rsidR="00644E8A" w:rsidRPr="00485A4C" w:rsidRDefault="000251D7" w:rsidP="00644E8A">
      <w:pPr>
        <w:pStyle w:val="Heading1"/>
        <w:ind w:left="-540"/>
        <w:jc w:val="both"/>
        <w:rPr>
          <w:rFonts w:ascii="Tahoma" w:hAnsi="Tahoma" w:cs="Tahoma"/>
          <w:sz w:val="22"/>
          <w:szCs w:val="22"/>
        </w:rPr>
      </w:pPr>
      <w:bookmarkStart w:id="76" w:name="_Toc526260628"/>
      <w:r w:rsidRPr="00485A4C">
        <w:rPr>
          <w:rFonts w:ascii="Tahoma" w:hAnsi="Tahoma" w:cs="Tahoma"/>
          <w:sz w:val="22"/>
          <w:szCs w:val="22"/>
        </w:rPr>
        <w:t>8</w:t>
      </w:r>
      <w:r w:rsidR="00644E8A" w:rsidRPr="00485A4C">
        <w:rPr>
          <w:rFonts w:ascii="Tahoma" w:hAnsi="Tahoma" w:cs="Tahoma"/>
          <w:sz w:val="22"/>
          <w:szCs w:val="22"/>
        </w:rPr>
        <w:t>. Διαδικτυακός τόπος ανάρτησης των Εταιρικών Οικονομικών Καταστάσεων</w:t>
      </w:r>
      <w:bookmarkEnd w:id="76"/>
    </w:p>
    <w:p w:rsidR="00644E8A" w:rsidRPr="00485A4C" w:rsidRDefault="00644E8A" w:rsidP="00644E8A">
      <w:pPr>
        <w:rPr>
          <w:rFonts w:ascii="Tahoma" w:hAnsi="Tahoma" w:cs="Tahoma"/>
          <w:sz w:val="22"/>
          <w:szCs w:val="22"/>
          <w:highlight w:val="red"/>
        </w:rPr>
      </w:pPr>
    </w:p>
    <w:p w:rsidR="001A332F" w:rsidRPr="00485A4C" w:rsidRDefault="00315CCE" w:rsidP="00F667AD">
      <w:pPr>
        <w:spacing w:line="360" w:lineRule="auto"/>
        <w:ind w:left="-540"/>
        <w:jc w:val="both"/>
        <w:rPr>
          <w:rFonts w:ascii="Tahoma" w:hAnsi="Tahoma" w:cs="Tahoma"/>
          <w:sz w:val="22"/>
          <w:szCs w:val="22"/>
        </w:rPr>
      </w:pPr>
      <w:r w:rsidRPr="00485A4C">
        <w:rPr>
          <w:rFonts w:ascii="Tahoma" w:hAnsi="Tahoma" w:cs="Tahoma"/>
          <w:sz w:val="22"/>
          <w:szCs w:val="22"/>
        </w:rPr>
        <w:t>Οι ετήσιες οικονομικές καταστάσεις της Εταιρείας, η έκθεση Ελέγχου τ</w:t>
      </w:r>
      <w:r w:rsidR="00DC26FA" w:rsidRPr="00485A4C">
        <w:rPr>
          <w:rFonts w:ascii="Tahoma" w:hAnsi="Tahoma" w:cs="Tahoma"/>
          <w:sz w:val="22"/>
          <w:szCs w:val="22"/>
        </w:rPr>
        <w:t>ης</w:t>
      </w:r>
      <w:r w:rsidRPr="00485A4C">
        <w:rPr>
          <w:rFonts w:ascii="Tahoma" w:hAnsi="Tahoma" w:cs="Tahoma"/>
          <w:sz w:val="22"/>
          <w:szCs w:val="22"/>
        </w:rPr>
        <w:t xml:space="preserve"> Ορκωτού Ελεγκτή Λογιστή και </w:t>
      </w:r>
      <w:r w:rsidR="00DC26FA" w:rsidRPr="00485A4C">
        <w:rPr>
          <w:rFonts w:ascii="Tahoma" w:hAnsi="Tahoma" w:cs="Tahoma"/>
          <w:sz w:val="22"/>
          <w:szCs w:val="22"/>
        </w:rPr>
        <w:t>η</w:t>
      </w:r>
      <w:r w:rsidRPr="00485A4C">
        <w:rPr>
          <w:rFonts w:ascii="Tahoma" w:hAnsi="Tahoma" w:cs="Tahoma"/>
          <w:sz w:val="22"/>
          <w:szCs w:val="22"/>
        </w:rPr>
        <w:t xml:space="preserve"> </w:t>
      </w:r>
      <w:r w:rsidR="00DC26FA" w:rsidRPr="00485A4C">
        <w:rPr>
          <w:rFonts w:ascii="Tahoma" w:hAnsi="Tahoma" w:cs="Tahoma"/>
          <w:sz w:val="22"/>
          <w:szCs w:val="22"/>
        </w:rPr>
        <w:t>Έ</w:t>
      </w:r>
      <w:r w:rsidRPr="00485A4C">
        <w:rPr>
          <w:rFonts w:ascii="Tahoma" w:hAnsi="Tahoma" w:cs="Tahoma"/>
          <w:sz w:val="22"/>
          <w:szCs w:val="22"/>
        </w:rPr>
        <w:t>κθ</w:t>
      </w:r>
      <w:r w:rsidR="00DC26FA" w:rsidRPr="00485A4C">
        <w:rPr>
          <w:rFonts w:ascii="Tahoma" w:hAnsi="Tahoma" w:cs="Tahoma"/>
          <w:sz w:val="22"/>
          <w:szCs w:val="22"/>
        </w:rPr>
        <w:t>ε</w:t>
      </w:r>
      <w:r w:rsidRPr="00485A4C">
        <w:rPr>
          <w:rFonts w:ascii="Tahoma" w:hAnsi="Tahoma" w:cs="Tahoma"/>
          <w:sz w:val="22"/>
          <w:szCs w:val="22"/>
        </w:rPr>
        <w:t>σ</w:t>
      </w:r>
      <w:r w:rsidR="00DC26FA" w:rsidRPr="00485A4C">
        <w:rPr>
          <w:rFonts w:ascii="Tahoma" w:hAnsi="Tahoma" w:cs="Tahoma"/>
          <w:sz w:val="22"/>
          <w:szCs w:val="22"/>
        </w:rPr>
        <w:t>η</w:t>
      </w:r>
      <w:r w:rsidRPr="00485A4C">
        <w:rPr>
          <w:rFonts w:ascii="Tahoma" w:hAnsi="Tahoma" w:cs="Tahoma"/>
          <w:sz w:val="22"/>
          <w:szCs w:val="22"/>
        </w:rPr>
        <w:t xml:space="preserve"> διαχείρισης του Διοικητικού Συμβουλίου είναι καταχωρημένες στο διαδίκτυο στη διεύθυνση </w:t>
      </w:r>
      <w:hyperlink r:id="rId15" w:history="1">
        <w:r w:rsidR="00751B74" w:rsidRPr="00485A4C">
          <w:rPr>
            <w:rStyle w:val="Hyperlink"/>
            <w:rFonts w:ascii="Tahoma" w:hAnsi="Tahoma" w:cs="Tahoma"/>
            <w:sz w:val="22"/>
            <w:szCs w:val="22"/>
            <w:lang w:val="en-US"/>
          </w:rPr>
          <w:t>www</w:t>
        </w:r>
        <w:r w:rsidR="00751B74" w:rsidRPr="00485A4C">
          <w:rPr>
            <w:rStyle w:val="Hyperlink"/>
            <w:rFonts w:ascii="Tahoma" w:hAnsi="Tahoma" w:cs="Tahoma"/>
            <w:sz w:val="22"/>
            <w:szCs w:val="22"/>
          </w:rPr>
          <w:t>.pilioicecream.com</w:t>
        </w:r>
      </w:hyperlink>
      <w:r w:rsidR="00751B74" w:rsidRPr="00485A4C">
        <w:rPr>
          <w:rFonts w:ascii="Tahoma" w:hAnsi="Tahoma" w:cs="Tahoma"/>
          <w:color w:val="0000FF"/>
          <w:sz w:val="22"/>
          <w:szCs w:val="22"/>
          <w:u w:val="single"/>
        </w:rPr>
        <w:t>.</w:t>
      </w:r>
    </w:p>
    <w:p w:rsidR="009D5ECB" w:rsidRPr="00485A4C" w:rsidRDefault="009D5ECB" w:rsidP="00AD4468">
      <w:pPr>
        <w:spacing w:line="360" w:lineRule="auto"/>
        <w:jc w:val="both"/>
        <w:rPr>
          <w:rFonts w:ascii="Tahoma" w:hAnsi="Tahoma" w:cs="Tahoma"/>
          <w:sz w:val="22"/>
          <w:szCs w:val="22"/>
          <w:highlight w:val="red"/>
        </w:rPr>
      </w:pPr>
    </w:p>
    <w:p w:rsidR="006C6A2A" w:rsidRPr="00485A4C" w:rsidRDefault="006C6A2A" w:rsidP="00315CCE">
      <w:pPr>
        <w:spacing w:line="360" w:lineRule="auto"/>
        <w:ind w:left="-540"/>
        <w:jc w:val="both"/>
        <w:rPr>
          <w:rFonts w:ascii="Tahoma" w:hAnsi="Tahoma" w:cs="Tahoma"/>
          <w:sz w:val="22"/>
          <w:szCs w:val="22"/>
        </w:rPr>
      </w:pPr>
      <w:r w:rsidRPr="00485A4C">
        <w:rPr>
          <w:rFonts w:ascii="Tahoma" w:hAnsi="Tahoma" w:cs="Tahoma"/>
          <w:sz w:val="22"/>
          <w:szCs w:val="22"/>
        </w:rPr>
        <w:t xml:space="preserve">Οι ανωτέρω </w:t>
      </w:r>
      <w:r w:rsidR="008B3B09" w:rsidRPr="00485A4C">
        <w:rPr>
          <w:rFonts w:ascii="Tahoma" w:hAnsi="Tahoma" w:cs="Tahoma"/>
          <w:sz w:val="22"/>
          <w:szCs w:val="22"/>
        </w:rPr>
        <w:t>Ο</w:t>
      </w:r>
      <w:r w:rsidRPr="00485A4C">
        <w:rPr>
          <w:rFonts w:ascii="Tahoma" w:hAnsi="Tahoma" w:cs="Tahoma"/>
          <w:sz w:val="22"/>
          <w:szCs w:val="22"/>
        </w:rPr>
        <w:t xml:space="preserve">ικονομικές </w:t>
      </w:r>
      <w:r w:rsidR="008B3B09" w:rsidRPr="00485A4C">
        <w:rPr>
          <w:rFonts w:ascii="Tahoma" w:hAnsi="Tahoma" w:cs="Tahoma"/>
          <w:sz w:val="22"/>
          <w:szCs w:val="22"/>
        </w:rPr>
        <w:t>Κ</w:t>
      </w:r>
      <w:r w:rsidRPr="00485A4C">
        <w:rPr>
          <w:rFonts w:ascii="Tahoma" w:hAnsi="Tahoma" w:cs="Tahoma"/>
          <w:sz w:val="22"/>
          <w:szCs w:val="22"/>
        </w:rPr>
        <w:t>αταστάσεις είναι εκείνες που εγκρίθηκαν από το Διοικητικό</w:t>
      </w:r>
      <w:r w:rsidR="008B3B09" w:rsidRPr="00485A4C">
        <w:rPr>
          <w:rFonts w:ascii="Tahoma" w:hAnsi="Tahoma" w:cs="Tahoma"/>
          <w:sz w:val="22"/>
          <w:szCs w:val="22"/>
        </w:rPr>
        <w:t xml:space="preserve"> Συμβούλιο της εταιρείας την </w:t>
      </w:r>
      <w:r w:rsidR="0052638A" w:rsidRPr="00485A4C">
        <w:rPr>
          <w:rFonts w:ascii="Tahoma" w:hAnsi="Tahoma" w:cs="Tahoma"/>
          <w:sz w:val="22"/>
          <w:szCs w:val="22"/>
        </w:rPr>
        <w:t>6</w:t>
      </w:r>
      <w:r w:rsidR="00CA07BA" w:rsidRPr="00485A4C">
        <w:rPr>
          <w:rFonts w:ascii="Tahoma" w:hAnsi="Tahoma" w:cs="Tahoma"/>
          <w:sz w:val="22"/>
          <w:szCs w:val="22"/>
          <w:vertAlign w:val="superscript"/>
        </w:rPr>
        <w:t>η</w:t>
      </w:r>
      <w:r w:rsidR="00CA07BA" w:rsidRPr="00485A4C">
        <w:rPr>
          <w:rFonts w:ascii="Tahoma" w:hAnsi="Tahoma" w:cs="Tahoma"/>
          <w:sz w:val="22"/>
          <w:szCs w:val="22"/>
        </w:rPr>
        <w:t xml:space="preserve"> </w:t>
      </w:r>
      <w:r w:rsidR="00633408" w:rsidRPr="00485A4C">
        <w:rPr>
          <w:rFonts w:ascii="Tahoma" w:hAnsi="Tahoma" w:cs="Tahoma"/>
          <w:sz w:val="22"/>
          <w:szCs w:val="22"/>
        </w:rPr>
        <w:t>Α</w:t>
      </w:r>
      <w:r w:rsidR="00315CCE" w:rsidRPr="00485A4C">
        <w:rPr>
          <w:rFonts w:ascii="Tahoma" w:hAnsi="Tahoma" w:cs="Tahoma"/>
          <w:sz w:val="22"/>
          <w:szCs w:val="22"/>
        </w:rPr>
        <w:t>υγούστ</w:t>
      </w:r>
      <w:r w:rsidR="009D0ACE" w:rsidRPr="00485A4C">
        <w:rPr>
          <w:rFonts w:ascii="Tahoma" w:hAnsi="Tahoma" w:cs="Tahoma"/>
          <w:sz w:val="22"/>
          <w:szCs w:val="22"/>
        </w:rPr>
        <w:t>ου</w:t>
      </w:r>
      <w:r w:rsidR="008B3B09" w:rsidRPr="00485A4C">
        <w:rPr>
          <w:rFonts w:ascii="Tahoma" w:hAnsi="Tahoma" w:cs="Tahoma"/>
          <w:sz w:val="22"/>
          <w:szCs w:val="22"/>
        </w:rPr>
        <w:t xml:space="preserve"> 20</w:t>
      </w:r>
      <w:r w:rsidR="00D07A75" w:rsidRPr="00485A4C">
        <w:rPr>
          <w:rFonts w:ascii="Tahoma" w:hAnsi="Tahoma" w:cs="Tahoma"/>
          <w:sz w:val="22"/>
          <w:szCs w:val="22"/>
        </w:rPr>
        <w:t>1</w:t>
      </w:r>
      <w:r w:rsidR="00AD4468">
        <w:rPr>
          <w:rFonts w:ascii="Tahoma" w:hAnsi="Tahoma" w:cs="Tahoma"/>
          <w:sz w:val="22"/>
          <w:szCs w:val="22"/>
        </w:rPr>
        <w:t>9</w:t>
      </w:r>
      <w:r w:rsidR="008B3B09" w:rsidRPr="00485A4C">
        <w:rPr>
          <w:rFonts w:ascii="Tahoma" w:hAnsi="Tahoma" w:cs="Tahoma"/>
          <w:sz w:val="22"/>
          <w:szCs w:val="22"/>
        </w:rPr>
        <w:t>.</w:t>
      </w:r>
    </w:p>
    <w:p w:rsidR="008B3B09" w:rsidRPr="00485A4C" w:rsidRDefault="008B3B09" w:rsidP="00315CCE">
      <w:pPr>
        <w:spacing w:line="360" w:lineRule="auto"/>
        <w:ind w:left="-540"/>
        <w:jc w:val="both"/>
        <w:rPr>
          <w:rFonts w:ascii="Tahoma" w:hAnsi="Tahoma" w:cs="Tahoma"/>
          <w:sz w:val="22"/>
          <w:szCs w:val="22"/>
        </w:rPr>
      </w:pPr>
    </w:p>
    <w:p w:rsidR="008529C7" w:rsidRPr="00485A4C" w:rsidRDefault="008529C7" w:rsidP="00315CCE">
      <w:pPr>
        <w:spacing w:line="360" w:lineRule="auto"/>
        <w:ind w:left="-540"/>
        <w:jc w:val="both"/>
        <w:rPr>
          <w:rFonts w:ascii="Tahoma" w:hAnsi="Tahoma" w:cs="Tahoma"/>
          <w:sz w:val="22"/>
          <w:szCs w:val="22"/>
        </w:rPr>
      </w:pPr>
    </w:p>
    <w:p w:rsidR="00880FED" w:rsidRPr="00485A4C" w:rsidRDefault="00880FED" w:rsidP="0052638A">
      <w:pPr>
        <w:spacing w:line="360" w:lineRule="auto"/>
        <w:ind w:left="-540"/>
        <w:jc w:val="center"/>
        <w:rPr>
          <w:rFonts w:ascii="Tahoma" w:hAnsi="Tahoma" w:cs="Tahoma"/>
          <w:b/>
          <w:sz w:val="22"/>
          <w:szCs w:val="22"/>
        </w:rPr>
      </w:pPr>
      <w:r w:rsidRPr="00485A4C">
        <w:rPr>
          <w:rFonts w:ascii="Tahoma" w:hAnsi="Tahoma" w:cs="Tahoma"/>
          <w:b/>
          <w:sz w:val="22"/>
          <w:szCs w:val="22"/>
        </w:rPr>
        <w:t>Οι υπεύθυνοι για την κατάρτιση των Οικονομικών  καταστάσεων:</w:t>
      </w:r>
    </w:p>
    <w:p w:rsidR="008327E3" w:rsidRPr="00485A4C" w:rsidRDefault="008327E3" w:rsidP="008327E3">
      <w:pPr>
        <w:autoSpaceDE w:val="0"/>
        <w:autoSpaceDN w:val="0"/>
        <w:adjustRightInd w:val="0"/>
        <w:ind w:left="-1560"/>
        <w:rPr>
          <w:rFonts w:ascii="Tahoma" w:hAnsi="Tahoma" w:cs="Tahoma"/>
          <w:sz w:val="22"/>
          <w:szCs w:val="22"/>
        </w:rPr>
      </w:pPr>
    </w:p>
    <w:tbl>
      <w:tblPr>
        <w:tblW w:w="9640" w:type="dxa"/>
        <w:tblInd w:w="-993" w:type="dxa"/>
        <w:tblLook w:val="01E0" w:firstRow="1" w:lastRow="1" w:firstColumn="1" w:lastColumn="1" w:noHBand="0" w:noVBand="0"/>
      </w:tblPr>
      <w:tblGrid>
        <w:gridCol w:w="4962"/>
        <w:gridCol w:w="4678"/>
      </w:tblGrid>
      <w:tr w:rsidR="005107ED" w:rsidRPr="00485A4C" w:rsidTr="005107ED">
        <w:tc>
          <w:tcPr>
            <w:tcW w:w="4962" w:type="dxa"/>
          </w:tcPr>
          <w:bookmarkEnd w:id="21"/>
          <w:p w:rsidR="005107ED" w:rsidRPr="00485A4C" w:rsidRDefault="005107ED" w:rsidP="00577BD7">
            <w:pPr>
              <w:autoSpaceDE w:val="0"/>
              <w:autoSpaceDN w:val="0"/>
              <w:adjustRightInd w:val="0"/>
              <w:jc w:val="center"/>
              <w:rPr>
                <w:rFonts w:ascii="Tahoma" w:hAnsi="Tahoma" w:cs="Tahoma"/>
                <w:sz w:val="22"/>
                <w:szCs w:val="22"/>
              </w:rPr>
            </w:pPr>
            <w:r w:rsidRPr="00485A4C">
              <w:rPr>
                <w:rFonts w:ascii="Tahoma" w:hAnsi="Tahoma" w:cs="Tahoma"/>
                <w:sz w:val="22"/>
                <w:szCs w:val="22"/>
              </w:rPr>
              <w:t xml:space="preserve">Ο Πρόεδρος του Διοικητικού Συμβουλίου και Διευθύνων Σύμβουλος </w:t>
            </w:r>
          </w:p>
          <w:p w:rsidR="005107ED" w:rsidRPr="00485A4C" w:rsidRDefault="005107ED" w:rsidP="00577BD7">
            <w:pPr>
              <w:autoSpaceDE w:val="0"/>
              <w:autoSpaceDN w:val="0"/>
              <w:adjustRightInd w:val="0"/>
              <w:jc w:val="center"/>
              <w:rPr>
                <w:rFonts w:ascii="Tahoma" w:hAnsi="Tahoma" w:cs="Tahoma"/>
                <w:sz w:val="22"/>
                <w:szCs w:val="22"/>
              </w:rPr>
            </w:pPr>
          </w:p>
          <w:p w:rsidR="005107ED" w:rsidRPr="00485A4C" w:rsidRDefault="005107ED" w:rsidP="00577BD7">
            <w:pPr>
              <w:autoSpaceDE w:val="0"/>
              <w:autoSpaceDN w:val="0"/>
              <w:adjustRightInd w:val="0"/>
              <w:jc w:val="center"/>
              <w:rPr>
                <w:rFonts w:ascii="Tahoma" w:hAnsi="Tahoma" w:cs="Tahoma"/>
                <w:sz w:val="22"/>
                <w:szCs w:val="22"/>
              </w:rPr>
            </w:pPr>
          </w:p>
          <w:p w:rsidR="005107ED" w:rsidRPr="00485A4C" w:rsidRDefault="005107ED" w:rsidP="00577BD7">
            <w:pPr>
              <w:pStyle w:val="METKA"/>
              <w:spacing w:after="0" w:line="240" w:lineRule="auto"/>
              <w:jc w:val="center"/>
              <w:rPr>
                <w:rFonts w:ascii="Tahoma" w:hAnsi="Tahoma" w:cs="Tahoma"/>
                <w:szCs w:val="22"/>
              </w:rPr>
            </w:pPr>
          </w:p>
        </w:tc>
        <w:tc>
          <w:tcPr>
            <w:tcW w:w="4678" w:type="dxa"/>
          </w:tcPr>
          <w:p w:rsidR="005107ED" w:rsidRPr="00485A4C" w:rsidRDefault="005107ED" w:rsidP="00577BD7">
            <w:pPr>
              <w:pStyle w:val="METKA"/>
              <w:spacing w:after="0" w:line="240" w:lineRule="auto"/>
              <w:jc w:val="center"/>
              <w:rPr>
                <w:rFonts w:ascii="Tahoma" w:hAnsi="Tahoma" w:cs="Tahoma"/>
                <w:szCs w:val="22"/>
              </w:rPr>
            </w:pPr>
            <w:r w:rsidRPr="00485A4C">
              <w:rPr>
                <w:rFonts w:ascii="Tahoma" w:hAnsi="Tahoma" w:cs="Tahoma"/>
                <w:szCs w:val="22"/>
              </w:rPr>
              <w:t>Ο Αντιπρόεδρος του Διοικητικού Συμβουλίου</w:t>
            </w:r>
          </w:p>
        </w:tc>
      </w:tr>
      <w:tr w:rsidR="005107ED" w:rsidRPr="00485A4C" w:rsidTr="005107ED">
        <w:tc>
          <w:tcPr>
            <w:tcW w:w="4962" w:type="dxa"/>
          </w:tcPr>
          <w:p w:rsidR="005107ED" w:rsidRPr="00485A4C" w:rsidRDefault="005107ED" w:rsidP="00577BD7">
            <w:pPr>
              <w:pStyle w:val="METKA"/>
              <w:spacing w:after="0" w:line="240" w:lineRule="auto"/>
              <w:jc w:val="center"/>
              <w:rPr>
                <w:rFonts w:ascii="Tahoma" w:hAnsi="Tahoma" w:cs="Tahoma"/>
                <w:szCs w:val="22"/>
              </w:rPr>
            </w:pPr>
            <w:r w:rsidRPr="00485A4C">
              <w:rPr>
                <w:rFonts w:ascii="Tahoma" w:hAnsi="Tahoma" w:cs="Tahoma"/>
                <w:szCs w:val="22"/>
              </w:rPr>
              <w:t>ΠΕΠΟΝΟΠΟΥΛΟΣ ΕΜΜ. ΣΤΕΛΙΟΣ</w:t>
            </w:r>
          </w:p>
          <w:p w:rsidR="005107ED" w:rsidRPr="00485A4C" w:rsidRDefault="005107ED" w:rsidP="00577BD7">
            <w:pPr>
              <w:pStyle w:val="METKA"/>
              <w:spacing w:after="0" w:line="240" w:lineRule="auto"/>
              <w:jc w:val="center"/>
              <w:rPr>
                <w:rFonts w:ascii="Tahoma" w:hAnsi="Tahoma" w:cs="Tahoma"/>
                <w:szCs w:val="22"/>
              </w:rPr>
            </w:pPr>
            <w:r w:rsidRPr="00485A4C">
              <w:rPr>
                <w:rFonts w:ascii="Tahoma" w:hAnsi="Tahoma" w:cs="Tahoma"/>
                <w:szCs w:val="22"/>
              </w:rPr>
              <w:t xml:space="preserve">Α.Δ.Τ. : Φ 477097 </w:t>
            </w:r>
          </w:p>
        </w:tc>
        <w:tc>
          <w:tcPr>
            <w:tcW w:w="4678" w:type="dxa"/>
          </w:tcPr>
          <w:p w:rsidR="005107ED" w:rsidRPr="00485A4C" w:rsidRDefault="005107ED" w:rsidP="00577BD7">
            <w:pPr>
              <w:pStyle w:val="METKA"/>
              <w:spacing w:after="0" w:line="240" w:lineRule="auto"/>
              <w:jc w:val="center"/>
              <w:rPr>
                <w:rFonts w:ascii="Tahoma" w:hAnsi="Tahoma" w:cs="Tahoma"/>
                <w:szCs w:val="22"/>
              </w:rPr>
            </w:pPr>
            <w:r w:rsidRPr="00485A4C">
              <w:rPr>
                <w:rFonts w:ascii="Tahoma" w:hAnsi="Tahoma" w:cs="Tahoma"/>
                <w:szCs w:val="22"/>
              </w:rPr>
              <w:t>ΠΕΠΟΝΟΠΟΥΛΟΣ ΣΤΥΛ. ΒΑΣΙΛΕΙΟΣ</w:t>
            </w:r>
          </w:p>
          <w:p w:rsidR="005107ED" w:rsidRPr="00485A4C" w:rsidRDefault="005107ED" w:rsidP="00577BD7">
            <w:pPr>
              <w:pStyle w:val="METKA"/>
              <w:spacing w:after="0" w:line="240" w:lineRule="auto"/>
              <w:jc w:val="center"/>
              <w:rPr>
                <w:rFonts w:ascii="Tahoma" w:hAnsi="Tahoma" w:cs="Tahoma"/>
                <w:szCs w:val="22"/>
              </w:rPr>
            </w:pPr>
            <w:r w:rsidRPr="00485A4C">
              <w:rPr>
                <w:rFonts w:ascii="Tahoma" w:hAnsi="Tahoma" w:cs="Tahoma"/>
                <w:szCs w:val="22"/>
              </w:rPr>
              <w:t xml:space="preserve">Α.Δ.Τ. : ΑΒ 851045 </w:t>
            </w:r>
          </w:p>
        </w:tc>
      </w:tr>
    </w:tbl>
    <w:p w:rsidR="00C4516E" w:rsidRPr="00485A4C" w:rsidRDefault="00C4516E" w:rsidP="00C4516E">
      <w:pPr>
        <w:ind w:left="720"/>
        <w:rPr>
          <w:rFonts w:ascii="Tahoma" w:hAnsi="Tahoma" w:cs="Tahoma"/>
          <w:sz w:val="22"/>
          <w:szCs w:val="22"/>
        </w:rPr>
      </w:pPr>
    </w:p>
    <w:p w:rsidR="00315CCE" w:rsidRPr="00485A4C" w:rsidRDefault="00315CCE" w:rsidP="00315CCE">
      <w:pPr>
        <w:ind w:left="720"/>
        <w:rPr>
          <w:rFonts w:ascii="Tahoma" w:hAnsi="Tahoma" w:cs="Tahoma"/>
          <w:sz w:val="22"/>
          <w:szCs w:val="22"/>
        </w:rPr>
      </w:pPr>
    </w:p>
    <w:p w:rsidR="00315CCE" w:rsidRPr="00485A4C" w:rsidRDefault="00315CCE" w:rsidP="00315CCE">
      <w:pPr>
        <w:ind w:left="720"/>
        <w:rPr>
          <w:rFonts w:ascii="Tahoma" w:hAnsi="Tahoma" w:cs="Tahoma"/>
          <w:sz w:val="22"/>
          <w:szCs w:val="22"/>
        </w:rPr>
      </w:pPr>
    </w:p>
    <w:p w:rsidR="00315CCE" w:rsidRPr="00485A4C" w:rsidRDefault="00315CCE" w:rsidP="00315CCE">
      <w:pPr>
        <w:autoSpaceDE w:val="0"/>
        <w:autoSpaceDN w:val="0"/>
        <w:adjustRightInd w:val="0"/>
        <w:rPr>
          <w:rFonts w:ascii="Tahoma" w:hAnsi="Tahoma" w:cs="Tahoma"/>
          <w:sz w:val="22"/>
          <w:szCs w:val="22"/>
        </w:rPr>
      </w:pPr>
      <w:r w:rsidRPr="00485A4C">
        <w:rPr>
          <w:rFonts w:ascii="Tahoma" w:hAnsi="Tahoma" w:cs="Tahoma"/>
          <w:sz w:val="22"/>
          <w:szCs w:val="22"/>
        </w:rPr>
        <w:t xml:space="preserve">                     </w:t>
      </w:r>
    </w:p>
    <w:p w:rsidR="00315CCE" w:rsidRPr="00485A4C" w:rsidRDefault="00315CCE" w:rsidP="00315CCE">
      <w:pPr>
        <w:autoSpaceDE w:val="0"/>
        <w:autoSpaceDN w:val="0"/>
        <w:adjustRightInd w:val="0"/>
        <w:ind w:left="720"/>
        <w:rPr>
          <w:rFonts w:ascii="Tahoma" w:hAnsi="Tahoma" w:cs="Tahoma"/>
          <w:sz w:val="22"/>
          <w:szCs w:val="22"/>
        </w:rPr>
      </w:pPr>
    </w:p>
    <w:p w:rsidR="00315CCE" w:rsidRPr="00485A4C" w:rsidRDefault="00315CCE" w:rsidP="00315CCE">
      <w:pPr>
        <w:autoSpaceDE w:val="0"/>
        <w:autoSpaceDN w:val="0"/>
        <w:adjustRightInd w:val="0"/>
        <w:ind w:left="720"/>
        <w:rPr>
          <w:rFonts w:ascii="Tahoma" w:hAnsi="Tahoma" w:cs="Tahoma"/>
          <w:sz w:val="22"/>
          <w:szCs w:val="22"/>
        </w:rPr>
      </w:pPr>
    </w:p>
    <w:tbl>
      <w:tblPr>
        <w:tblW w:w="0" w:type="auto"/>
        <w:tblLook w:val="01E0" w:firstRow="1" w:lastRow="1" w:firstColumn="1" w:lastColumn="1" w:noHBand="0" w:noVBand="0"/>
      </w:tblPr>
      <w:tblGrid>
        <w:gridCol w:w="7696"/>
      </w:tblGrid>
      <w:tr w:rsidR="00315CCE" w:rsidRPr="00485A4C" w:rsidTr="00A007B3">
        <w:tc>
          <w:tcPr>
            <w:tcW w:w="8528" w:type="dxa"/>
          </w:tcPr>
          <w:p w:rsidR="00315CCE" w:rsidRPr="00485A4C" w:rsidRDefault="00315CCE" w:rsidP="00A007B3">
            <w:pPr>
              <w:autoSpaceDE w:val="0"/>
              <w:autoSpaceDN w:val="0"/>
              <w:adjustRightInd w:val="0"/>
              <w:jc w:val="center"/>
              <w:rPr>
                <w:rFonts w:ascii="Tahoma" w:hAnsi="Tahoma" w:cs="Tahoma"/>
                <w:b/>
                <w:iCs/>
                <w:sz w:val="22"/>
                <w:szCs w:val="22"/>
              </w:rPr>
            </w:pPr>
            <w:r w:rsidRPr="00485A4C">
              <w:rPr>
                <w:rFonts w:ascii="Tahoma" w:hAnsi="Tahoma" w:cs="Tahoma"/>
                <w:b/>
                <w:iCs/>
                <w:sz w:val="22"/>
                <w:szCs w:val="22"/>
              </w:rPr>
              <w:t>Ο Υπεύθυνος Λογιστηρίου</w:t>
            </w:r>
          </w:p>
          <w:p w:rsidR="00315CCE" w:rsidRPr="00485A4C" w:rsidRDefault="00315CCE" w:rsidP="00A007B3">
            <w:pPr>
              <w:autoSpaceDE w:val="0"/>
              <w:autoSpaceDN w:val="0"/>
              <w:adjustRightInd w:val="0"/>
              <w:jc w:val="center"/>
              <w:rPr>
                <w:rFonts w:ascii="Tahoma" w:hAnsi="Tahoma" w:cs="Tahoma"/>
                <w:i/>
                <w:iCs/>
                <w:sz w:val="22"/>
                <w:szCs w:val="22"/>
              </w:rPr>
            </w:pPr>
          </w:p>
          <w:p w:rsidR="00315CCE" w:rsidRPr="00485A4C" w:rsidRDefault="00315CCE" w:rsidP="00A007B3">
            <w:pPr>
              <w:autoSpaceDE w:val="0"/>
              <w:autoSpaceDN w:val="0"/>
              <w:adjustRightInd w:val="0"/>
              <w:jc w:val="center"/>
              <w:rPr>
                <w:rFonts w:ascii="Tahoma" w:hAnsi="Tahoma" w:cs="Tahoma"/>
                <w:i/>
                <w:iCs/>
                <w:sz w:val="22"/>
                <w:szCs w:val="22"/>
              </w:rPr>
            </w:pPr>
          </w:p>
          <w:p w:rsidR="00315CCE" w:rsidRPr="00485A4C" w:rsidRDefault="00315CCE" w:rsidP="00A007B3">
            <w:pPr>
              <w:autoSpaceDE w:val="0"/>
              <w:autoSpaceDN w:val="0"/>
              <w:adjustRightInd w:val="0"/>
              <w:jc w:val="center"/>
              <w:rPr>
                <w:rFonts w:ascii="Tahoma" w:hAnsi="Tahoma" w:cs="Tahoma"/>
                <w:i/>
                <w:iCs/>
                <w:sz w:val="22"/>
                <w:szCs w:val="22"/>
              </w:rPr>
            </w:pPr>
          </w:p>
          <w:p w:rsidR="00315CCE" w:rsidRPr="00485A4C" w:rsidRDefault="00315CCE" w:rsidP="00A007B3">
            <w:pPr>
              <w:autoSpaceDE w:val="0"/>
              <w:autoSpaceDN w:val="0"/>
              <w:adjustRightInd w:val="0"/>
              <w:jc w:val="center"/>
              <w:rPr>
                <w:rFonts w:ascii="Tahoma" w:hAnsi="Tahoma" w:cs="Tahoma"/>
                <w:sz w:val="22"/>
                <w:szCs w:val="22"/>
              </w:rPr>
            </w:pPr>
          </w:p>
          <w:p w:rsidR="00315CCE" w:rsidRPr="00485A4C" w:rsidRDefault="00315CCE" w:rsidP="00A007B3">
            <w:pPr>
              <w:autoSpaceDE w:val="0"/>
              <w:autoSpaceDN w:val="0"/>
              <w:adjustRightInd w:val="0"/>
              <w:jc w:val="center"/>
              <w:rPr>
                <w:rFonts w:ascii="Tahoma" w:hAnsi="Tahoma" w:cs="Tahoma"/>
                <w:sz w:val="22"/>
                <w:szCs w:val="22"/>
              </w:rPr>
            </w:pPr>
            <w:r w:rsidRPr="00485A4C">
              <w:rPr>
                <w:rFonts w:ascii="Tahoma" w:hAnsi="Tahoma" w:cs="Tahoma"/>
                <w:sz w:val="22"/>
                <w:szCs w:val="22"/>
              </w:rPr>
              <w:lastRenderedPageBreak/>
              <w:t>Πιερής Κωνσταντίνου</w:t>
            </w:r>
          </w:p>
          <w:p w:rsidR="00315CCE" w:rsidRPr="00485A4C" w:rsidRDefault="00315CCE" w:rsidP="00A007B3">
            <w:pPr>
              <w:autoSpaceDE w:val="0"/>
              <w:autoSpaceDN w:val="0"/>
              <w:adjustRightInd w:val="0"/>
              <w:jc w:val="center"/>
              <w:rPr>
                <w:rFonts w:ascii="Tahoma" w:hAnsi="Tahoma" w:cs="Tahoma"/>
                <w:sz w:val="22"/>
                <w:szCs w:val="22"/>
              </w:rPr>
            </w:pPr>
            <w:r w:rsidRPr="00485A4C">
              <w:rPr>
                <w:rFonts w:ascii="Tahoma" w:hAnsi="Tahoma" w:cs="Tahoma"/>
                <w:sz w:val="22"/>
                <w:szCs w:val="22"/>
              </w:rPr>
              <w:t>ΑΔΤ Ρ 890352</w:t>
            </w:r>
          </w:p>
          <w:p w:rsidR="00315CCE" w:rsidRPr="00485A4C" w:rsidRDefault="00315CCE" w:rsidP="00A007B3">
            <w:pPr>
              <w:autoSpaceDE w:val="0"/>
              <w:autoSpaceDN w:val="0"/>
              <w:adjustRightInd w:val="0"/>
              <w:jc w:val="center"/>
              <w:rPr>
                <w:rFonts w:ascii="Tahoma" w:hAnsi="Tahoma" w:cs="Tahoma"/>
                <w:sz w:val="22"/>
                <w:szCs w:val="22"/>
              </w:rPr>
            </w:pPr>
            <w:r w:rsidRPr="00485A4C">
              <w:rPr>
                <w:rFonts w:ascii="Tahoma" w:hAnsi="Tahoma" w:cs="Tahoma"/>
                <w:sz w:val="22"/>
                <w:szCs w:val="22"/>
              </w:rPr>
              <w:t>ΑΡ. ΑΔΕΙΑΣ Α΄ ΤΑΞΗΣ 0019682</w:t>
            </w:r>
          </w:p>
          <w:p w:rsidR="00315CCE" w:rsidRPr="00485A4C" w:rsidRDefault="00315CCE" w:rsidP="00A007B3">
            <w:pPr>
              <w:autoSpaceDE w:val="0"/>
              <w:autoSpaceDN w:val="0"/>
              <w:adjustRightInd w:val="0"/>
              <w:jc w:val="center"/>
              <w:rPr>
                <w:rFonts w:ascii="Tahoma" w:hAnsi="Tahoma" w:cs="Tahoma"/>
                <w:sz w:val="22"/>
                <w:szCs w:val="22"/>
              </w:rPr>
            </w:pPr>
          </w:p>
        </w:tc>
      </w:tr>
      <w:tr w:rsidR="00315CCE" w:rsidRPr="00485A4C" w:rsidTr="00A007B3">
        <w:tc>
          <w:tcPr>
            <w:tcW w:w="8528" w:type="dxa"/>
          </w:tcPr>
          <w:p w:rsidR="00315CCE" w:rsidRPr="00485A4C" w:rsidRDefault="00315CCE" w:rsidP="00A007B3">
            <w:pPr>
              <w:autoSpaceDE w:val="0"/>
              <w:autoSpaceDN w:val="0"/>
              <w:adjustRightInd w:val="0"/>
              <w:jc w:val="center"/>
              <w:rPr>
                <w:rFonts w:ascii="Tahoma" w:hAnsi="Tahoma" w:cs="Tahoma"/>
                <w:sz w:val="22"/>
                <w:szCs w:val="22"/>
              </w:rPr>
            </w:pPr>
          </w:p>
        </w:tc>
      </w:tr>
    </w:tbl>
    <w:p w:rsidR="0052638A" w:rsidRPr="00485A4C" w:rsidRDefault="0052638A" w:rsidP="00C4516E">
      <w:pPr>
        <w:ind w:left="720"/>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52638A" w:rsidRPr="00485A4C" w:rsidRDefault="0052638A" w:rsidP="0052638A">
      <w:pPr>
        <w:rPr>
          <w:rFonts w:ascii="Tahoma" w:hAnsi="Tahoma" w:cs="Tahoma"/>
          <w:sz w:val="22"/>
          <w:szCs w:val="22"/>
        </w:rPr>
      </w:pPr>
    </w:p>
    <w:p w:rsidR="008327E3" w:rsidRPr="00485A4C" w:rsidRDefault="0052638A" w:rsidP="0052638A">
      <w:pPr>
        <w:tabs>
          <w:tab w:val="left" w:pos="4412"/>
        </w:tabs>
        <w:rPr>
          <w:rFonts w:ascii="Tahoma" w:hAnsi="Tahoma" w:cs="Tahoma"/>
          <w:sz w:val="22"/>
          <w:szCs w:val="22"/>
        </w:rPr>
      </w:pPr>
      <w:r w:rsidRPr="00485A4C">
        <w:rPr>
          <w:rFonts w:ascii="Tahoma" w:hAnsi="Tahoma" w:cs="Tahoma"/>
          <w:sz w:val="22"/>
          <w:szCs w:val="22"/>
        </w:rPr>
        <w:tab/>
      </w:r>
    </w:p>
    <w:sectPr w:rsidR="008327E3" w:rsidRPr="00485A4C" w:rsidSect="00164C4D">
      <w:pgSz w:w="11906" w:h="16838"/>
      <w:pgMar w:top="1336" w:right="1800" w:bottom="709" w:left="241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6EC" w:rsidRDefault="008A46EC">
      <w:r>
        <w:separator/>
      </w:r>
    </w:p>
  </w:endnote>
  <w:endnote w:type="continuationSeparator" w:id="0">
    <w:p w:rsidR="008A46EC" w:rsidRDefault="008A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2F" w:rsidRDefault="000F032F" w:rsidP="00A91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032F" w:rsidRDefault="000F032F" w:rsidP="00D067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2F" w:rsidRPr="0052638A" w:rsidRDefault="000F032F" w:rsidP="00917B90">
    <w:pPr>
      <w:pStyle w:val="Footer"/>
      <w:ind w:right="360"/>
      <w:jc w:val="center"/>
      <w:rPr>
        <w:sz w:val="20"/>
        <w:szCs w:val="20"/>
        <w:lang w:val="en-US"/>
      </w:rPr>
    </w:pPr>
    <w:r w:rsidRPr="002C1251">
      <w:rPr>
        <w:sz w:val="20"/>
        <w:szCs w:val="20"/>
      </w:rPr>
      <w:t xml:space="preserve">Σελίδα  </w:t>
    </w:r>
    <w:r w:rsidRPr="008529C7">
      <w:rPr>
        <w:sz w:val="20"/>
        <w:szCs w:val="20"/>
        <w:lang w:val="en-US"/>
      </w:rPr>
      <w:fldChar w:fldCharType="begin"/>
    </w:r>
    <w:r w:rsidRPr="008529C7">
      <w:rPr>
        <w:sz w:val="20"/>
        <w:szCs w:val="20"/>
        <w:lang w:val="en-US"/>
      </w:rPr>
      <w:instrText xml:space="preserve"> PAGE </w:instrText>
    </w:r>
    <w:r w:rsidRPr="008529C7">
      <w:rPr>
        <w:sz w:val="20"/>
        <w:szCs w:val="20"/>
        <w:lang w:val="en-US"/>
      </w:rPr>
      <w:fldChar w:fldCharType="separate"/>
    </w:r>
    <w:r>
      <w:rPr>
        <w:noProof/>
        <w:sz w:val="20"/>
        <w:szCs w:val="20"/>
        <w:lang w:val="en-US"/>
      </w:rPr>
      <w:t>17</w:t>
    </w:r>
    <w:r w:rsidRPr="008529C7">
      <w:rPr>
        <w:sz w:val="20"/>
        <w:szCs w:val="20"/>
        <w:lang w:val="en-US"/>
      </w:rPr>
      <w:fldChar w:fldCharType="end"/>
    </w:r>
    <w:r>
      <w:rPr>
        <w:rStyle w:val="PageNumber"/>
      </w:rPr>
      <w:t xml:space="preserve"> </w:t>
    </w:r>
    <w:r w:rsidRPr="002C1251">
      <w:rPr>
        <w:sz w:val="20"/>
        <w:szCs w:val="20"/>
      </w:rPr>
      <w:t xml:space="preserve">από </w:t>
    </w:r>
    <w:r>
      <w:rPr>
        <w:sz w:val="20"/>
        <w:szCs w:val="20"/>
        <w:lang w:val="el-GR"/>
      </w:rPr>
      <w:t>4</w:t>
    </w:r>
    <w:r>
      <w:rPr>
        <w:sz w:val="20"/>
        <w:szCs w:val="20"/>
        <w:lang w:val="en-US"/>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2F" w:rsidRPr="00784468" w:rsidRDefault="000F032F" w:rsidP="0052099F">
    <w:pPr>
      <w:pStyle w:val="Footer"/>
      <w:ind w:right="360"/>
      <w:jc w:val="center"/>
      <w:rPr>
        <w:color w:val="FFFFFF"/>
        <w:sz w:val="20"/>
        <w:szCs w:val="20"/>
        <w:lang w:val="en-US"/>
      </w:rPr>
    </w:pPr>
    <w:r w:rsidRPr="00784468">
      <w:rPr>
        <w:color w:val="FFFFFF"/>
        <w:sz w:val="20"/>
        <w:szCs w:val="20"/>
      </w:rPr>
      <w:t xml:space="preserve">Σελίδα  </w:t>
    </w:r>
    <w:r w:rsidRPr="00784468">
      <w:rPr>
        <w:rStyle w:val="PageNumber"/>
        <w:color w:val="FFFFFF"/>
      </w:rPr>
      <w:fldChar w:fldCharType="begin"/>
    </w:r>
    <w:r w:rsidRPr="00784468">
      <w:rPr>
        <w:rStyle w:val="PageNumber"/>
        <w:color w:val="FFFFFF"/>
      </w:rPr>
      <w:instrText xml:space="preserve"> PAGE </w:instrText>
    </w:r>
    <w:r w:rsidRPr="00784468">
      <w:rPr>
        <w:rStyle w:val="PageNumber"/>
        <w:color w:val="FFFFFF"/>
      </w:rPr>
      <w:fldChar w:fldCharType="separate"/>
    </w:r>
    <w:r>
      <w:rPr>
        <w:rStyle w:val="PageNumber"/>
        <w:noProof/>
        <w:color w:val="FFFFFF"/>
      </w:rPr>
      <w:t>1</w:t>
    </w:r>
    <w:r w:rsidRPr="00784468">
      <w:rPr>
        <w:rStyle w:val="PageNumber"/>
        <w:color w:val="FFFFFF"/>
      </w:rPr>
      <w:fldChar w:fldCharType="end"/>
    </w:r>
    <w:r w:rsidRPr="00784468">
      <w:rPr>
        <w:rStyle w:val="PageNumber"/>
        <w:color w:val="FFFFFF"/>
      </w:rPr>
      <w:t xml:space="preserve"> </w:t>
    </w:r>
    <w:r w:rsidRPr="00784468">
      <w:rPr>
        <w:color w:val="FFFFFF"/>
        <w:sz w:val="20"/>
        <w:szCs w:val="20"/>
      </w:rPr>
      <w:t xml:space="preserve">από </w:t>
    </w:r>
    <w:r w:rsidRPr="00784468">
      <w:rPr>
        <w:color w:val="FFFFFF"/>
        <w:sz w:val="20"/>
        <w:szCs w:val="20"/>
        <w:lang w:val="en-US"/>
      </w:rPr>
      <w:t>40</w:t>
    </w:r>
  </w:p>
  <w:p w:rsidR="000F032F" w:rsidRDefault="000F0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6EC" w:rsidRDefault="008A46EC">
      <w:r>
        <w:separator/>
      </w:r>
    </w:p>
  </w:footnote>
  <w:footnote w:type="continuationSeparator" w:id="0">
    <w:p w:rsidR="008A46EC" w:rsidRDefault="008A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2F" w:rsidRPr="00164C4D" w:rsidRDefault="000F032F" w:rsidP="00D0753A">
    <w:pPr>
      <w:pStyle w:val="Header"/>
      <w:tabs>
        <w:tab w:val="clear" w:pos="4153"/>
        <w:tab w:val="clear" w:pos="8306"/>
      </w:tabs>
      <w:ind w:left="-284"/>
      <w:rPr>
        <w:b/>
        <w:sz w:val="22"/>
        <w:szCs w:val="22"/>
      </w:rPr>
    </w:pPr>
    <w:r w:rsidRPr="00917B90">
      <w:rPr>
        <w:b/>
        <w:sz w:val="22"/>
        <w:szCs w:val="22"/>
      </w:rPr>
      <w:t xml:space="preserve">  </w:t>
    </w:r>
    <w:r>
      <w:rPr>
        <w:b/>
        <w:sz w:val="22"/>
        <w:szCs w:val="22"/>
      </w:rPr>
      <w:t xml:space="preserve">  </w:t>
    </w:r>
    <w:r>
      <w:rPr>
        <w:b/>
        <w:sz w:val="22"/>
        <w:szCs w:val="22"/>
        <w:lang w:val="en-US"/>
      </w:rPr>
      <w:t xml:space="preserve">               </w:t>
    </w:r>
    <w:r>
      <w:rPr>
        <w:b/>
        <w:sz w:val="22"/>
        <w:szCs w:val="22"/>
      </w:rPr>
      <w:t>ΠΕΠΟΝΟΠΟΥΛΟΣ Α.Ε. – ΠΑΓΩΤΑ ΠΗΛΙΟ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F7CA"/>
      </v:shape>
    </w:pict>
  </w:numPicBullet>
  <w:abstractNum w:abstractNumId="0" w15:restartNumberingAfterBreak="0">
    <w:nsid w:val="FFFFFFFE"/>
    <w:multiLevelType w:val="singleLevel"/>
    <w:tmpl w:val="88E2E51A"/>
    <w:lvl w:ilvl="0">
      <w:numFmt w:val="bullet"/>
      <w:lvlText w:val="*"/>
      <w:lvlJc w:val="left"/>
    </w:lvl>
  </w:abstractNum>
  <w:abstractNum w:abstractNumId="1" w15:restartNumberingAfterBreak="0">
    <w:nsid w:val="006F4C9C"/>
    <w:multiLevelType w:val="hybridMultilevel"/>
    <w:tmpl w:val="8EDE3D98"/>
    <w:lvl w:ilvl="0" w:tplc="52AE4682">
      <w:start w:val="1"/>
      <w:numFmt w:val="bullet"/>
      <w:lvlText w:val="-"/>
      <w:lvlJc w:val="left"/>
      <w:pPr>
        <w:tabs>
          <w:tab w:val="num" w:pos="181"/>
        </w:tabs>
        <w:ind w:left="181" w:hanging="360"/>
      </w:pPr>
      <w:rPr>
        <w:rFonts w:ascii="Verdana" w:hAnsi="Verdana" w:hint="default"/>
      </w:rPr>
    </w:lvl>
    <w:lvl w:ilvl="1" w:tplc="04080003" w:tentative="1">
      <w:start w:val="1"/>
      <w:numFmt w:val="bullet"/>
      <w:lvlText w:val="o"/>
      <w:lvlJc w:val="left"/>
      <w:pPr>
        <w:tabs>
          <w:tab w:val="num" w:pos="901"/>
        </w:tabs>
        <w:ind w:left="901" w:hanging="360"/>
      </w:pPr>
      <w:rPr>
        <w:rFonts w:ascii="Courier New" w:hAnsi="Courier New" w:cs="Courier New" w:hint="default"/>
      </w:rPr>
    </w:lvl>
    <w:lvl w:ilvl="2" w:tplc="04080005" w:tentative="1">
      <w:start w:val="1"/>
      <w:numFmt w:val="bullet"/>
      <w:lvlText w:val=""/>
      <w:lvlJc w:val="left"/>
      <w:pPr>
        <w:tabs>
          <w:tab w:val="num" w:pos="1621"/>
        </w:tabs>
        <w:ind w:left="1621" w:hanging="360"/>
      </w:pPr>
      <w:rPr>
        <w:rFonts w:ascii="Wingdings" w:hAnsi="Wingdings" w:hint="default"/>
      </w:rPr>
    </w:lvl>
    <w:lvl w:ilvl="3" w:tplc="04080001" w:tentative="1">
      <w:start w:val="1"/>
      <w:numFmt w:val="bullet"/>
      <w:lvlText w:val=""/>
      <w:lvlJc w:val="left"/>
      <w:pPr>
        <w:tabs>
          <w:tab w:val="num" w:pos="2341"/>
        </w:tabs>
        <w:ind w:left="2341" w:hanging="360"/>
      </w:pPr>
      <w:rPr>
        <w:rFonts w:ascii="Symbol" w:hAnsi="Symbol" w:hint="default"/>
      </w:rPr>
    </w:lvl>
    <w:lvl w:ilvl="4" w:tplc="04080003" w:tentative="1">
      <w:start w:val="1"/>
      <w:numFmt w:val="bullet"/>
      <w:lvlText w:val="o"/>
      <w:lvlJc w:val="left"/>
      <w:pPr>
        <w:tabs>
          <w:tab w:val="num" w:pos="3061"/>
        </w:tabs>
        <w:ind w:left="3061" w:hanging="360"/>
      </w:pPr>
      <w:rPr>
        <w:rFonts w:ascii="Courier New" w:hAnsi="Courier New" w:cs="Courier New" w:hint="default"/>
      </w:rPr>
    </w:lvl>
    <w:lvl w:ilvl="5" w:tplc="04080005" w:tentative="1">
      <w:start w:val="1"/>
      <w:numFmt w:val="bullet"/>
      <w:lvlText w:val=""/>
      <w:lvlJc w:val="left"/>
      <w:pPr>
        <w:tabs>
          <w:tab w:val="num" w:pos="3781"/>
        </w:tabs>
        <w:ind w:left="3781" w:hanging="360"/>
      </w:pPr>
      <w:rPr>
        <w:rFonts w:ascii="Wingdings" w:hAnsi="Wingdings" w:hint="default"/>
      </w:rPr>
    </w:lvl>
    <w:lvl w:ilvl="6" w:tplc="04080001" w:tentative="1">
      <w:start w:val="1"/>
      <w:numFmt w:val="bullet"/>
      <w:lvlText w:val=""/>
      <w:lvlJc w:val="left"/>
      <w:pPr>
        <w:tabs>
          <w:tab w:val="num" w:pos="4501"/>
        </w:tabs>
        <w:ind w:left="4501" w:hanging="360"/>
      </w:pPr>
      <w:rPr>
        <w:rFonts w:ascii="Symbol" w:hAnsi="Symbol" w:hint="default"/>
      </w:rPr>
    </w:lvl>
    <w:lvl w:ilvl="7" w:tplc="04080003" w:tentative="1">
      <w:start w:val="1"/>
      <w:numFmt w:val="bullet"/>
      <w:lvlText w:val="o"/>
      <w:lvlJc w:val="left"/>
      <w:pPr>
        <w:tabs>
          <w:tab w:val="num" w:pos="5221"/>
        </w:tabs>
        <w:ind w:left="5221" w:hanging="360"/>
      </w:pPr>
      <w:rPr>
        <w:rFonts w:ascii="Courier New" w:hAnsi="Courier New" w:cs="Courier New" w:hint="default"/>
      </w:rPr>
    </w:lvl>
    <w:lvl w:ilvl="8" w:tplc="04080005" w:tentative="1">
      <w:start w:val="1"/>
      <w:numFmt w:val="bullet"/>
      <w:lvlText w:val=""/>
      <w:lvlJc w:val="left"/>
      <w:pPr>
        <w:tabs>
          <w:tab w:val="num" w:pos="5941"/>
        </w:tabs>
        <w:ind w:left="5941" w:hanging="360"/>
      </w:pPr>
      <w:rPr>
        <w:rFonts w:ascii="Wingdings" w:hAnsi="Wingdings" w:hint="default"/>
      </w:rPr>
    </w:lvl>
  </w:abstractNum>
  <w:abstractNum w:abstractNumId="2" w15:restartNumberingAfterBreak="0">
    <w:nsid w:val="02AF1E40"/>
    <w:multiLevelType w:val="hybridMultilevel"/>
    <w:tmpl w:val="8D0ED8DE"/>
    <w:lvl w:ilvl="0" w:tplc="965CC640">
      <w:start w:val="1"/>
      <w:numFmt w:val="decimal"/>
      <w:lvlText w:val="%1. "/>
      <w:lvlJc w:val="left"/>
      <w:pPr>
        <w:tabs>
          <w:tab w:val="num" w:pos="360"/>
        </w:tabs>
        <w:ind w:left="283" w:hanging="283"/>
      </w:pPr>
      <w:rPr>
        <w:rFonts w:ascii="Times New Roman" w:hAnsi="Times New Roman" w:hint="default"/>
        <w:b w:val="0"/>
        <w:i w:val="0"/>
        <w:sz w:val="24"/>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47359A4"/>
    <w:multiLevelType w:val="hybridMultilevel"/>
    <w:tmpl w:val="57A60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B12641"/>
    <w:multiLevelType w:val="multilevel"/>
    <w:tmpl w:val="BD6A31B4"/>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7270F8"/>
    <w:multiLevelType w:val="hybridMultilevel"/>
    <w:tmpl w:val="32B823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0DBC0A3D"/>
    <w:multiLevelType w:val="hybridMultilevel"/>
    <w:tmpl w:val="9124B1F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E8E0752"/>
    <w:multiLevelType w:val="hybridMultilevel"/>
    <w:tmpl w:val="14767604"/>
    <w:lvl w:ilvl="0" w:tplc="60506FD0">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F5557"/>
    <w:multiLevelType w:val="hybridMultilevel"/>
    <w:tmpl w:val="67882A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3D34BFD"/>
    <w:multiLevelType w:val="hybridMultilevel"/>
    <w:tmpl w:val="E87C5A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5EB0FFF"/>
    <w:multiLevelType w:val="hybridMultilevel"/>
    <w:tmpl w:val="D2CEE278"/>
    <w:lvl w:ilvl="0" w:tplc="888E33FC">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789052A"/>
    <w:multiLevelType w:val="hybridMultilevel"/>
    <w:tmpl w:val="B586596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9935359"/>
    <w:multiLevelType w:val="hybridMultilevel"/>
    <w:tmpl w:val="88B061F4"/>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1CAA6EF3"/>
    <w:multiLevelType w:val="hybridMultilevel"/>
    <w:tmpl w:val="7E3A153A"/>
    <w:lvl w:ilvl="0" w:tplc="0408000F">
      <w:start w:val="1"/>
      <w:numFmt w:val="decimal"/>
      <w:lvlText w:val="%1."/>
      <w:lvlJc w:val="left"/>
      <w:pPr>
        <w:ind w:left="180" w:hanging="360"/>
      </w:p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4" w15:restartNumberingAfterBreak="0">
    <w:nsid w:val="21F32F5C"/>
    <w:multiLevelType w:val="hybridMultilevel"/>
    <w:tmpl w:val="A91297BC"/>
    <w:lvl w:ilvl="0" w:tplc="79C27D7E">
      <w:start w:val="1"/>
      <w:numFmt w:val="lowerRoman"/>
      <w:lvlText w:val="%1."/>
      <w:lvlJc w:val="left"/>
      <w:pPr>
        <w:tabs>
          <w:tab w:val="num" w:pos="720"/>
        </w:tabs>
        <w:ind w:left="720" w:hanging="720"/>
      </w:pPr>
      <w:rPr>
        <w:rFonts w:hint="default"/>
      </w:rPr>
    </w:lvl>
    <w:lvl w:ilvl="1" w:tplc="F454D7A2">
      <w:start w:val="1"/>
      <w:numFmt w:val="lowerRoman"/>
      <w:lvlText w:val="%2)"/>
      <w:lvlJc w:val="left"/>
      <w:pPr>
        <w:tabs>
          <w:tab w:val="num" w:pos="2340"/>
        </w:tabs>
        <w:ind w:left="2340" w:hanging="720"/>
      </w:pPr>
      <w:rPr>
        <w:rFonts w:hint="default"/>
        <w:b/>
      </w:r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5" w15:restartNumberingAfterBreak="0">
    <w:nsid w:val="26820BBE"/>
    <w:multiLevelType w:val="hybridMultilevel"/>
    <w:tmpl w:val="2CF8A222"/>
    <w:lvl w:ilvl="0" w:tplc="375AD51C">
      <w:start w:val="10"/>
      <w:numFmt w:val="upperRoman"/>
      <w:lvlText w:val="%1."/>
      <w:lvlJc w:val="left"/>
      <w:pPr>
        <w:tabs>
          <w:tab w:val="num" w:pos="780"/>
        </w:tabs>
        <w:ind w:left="780" w:hanging="72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6" w15:restartNumberingAfterBreak="0">
    <w:nsid w:val="27F469D6"/>
    <w:multiLevelType w:val="hybridMultilevel"/>
    <w:tmpl w:val="2C262242"/>
    <w:lvl w:ilvl="0" w:tplc="0408000F">
      <w:start w:val="1"/>
      <w:numFmt w:val="decimal"/>
      <w:lvlText w:val="%1."/>
      <w:lvlJc w:val="left"/>
      <w:pPr>
        <w:ind w:left="180" w:hanging="360"/>
      </w:p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7" w15:restartNumberingAfterBreak="0">
    <w:nsid w:val="2B8F4721"/>
    <w:multiLevelType w:val="hybridMultilevel"/>
    <w:tmpl w:val="1DE08EB4"/>
    <w:lvl w:ilvl="0" w:tplc="0408000B">
      <w:start w:val="1"/>
      <w:numFmt w:val="bullet"/>
      <w:lvlText w:val=""/>
      <w:lvlJc w:val="left"/>
      <w:pPr>
        <w:tabs>
          <w:tab w:val="num" w:pos="180"/>
        </w:tabs>
        <w:ind w:left="180" w:hanging="360"/>
      </w:pPr>
      <w:rPr>
        <w:rFonts w:ascii="Wingdings" w:hAnsi="Wingdings"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2C9D4D7A"/>
    <w:multiLevelType w:val="hybridMultilevel"/>
    <w:tmpl w:val="1F8ECC2E"/>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9" w15:restartNumberingAfterBreak="0">
    <w:nsid w:val="2E390CE5"/>
    <w:multiLevelType w:val="hybridMultilevel"/>
    <w:tmpl w:val="BF62BCBE"/>
    <w:lvl w:ilvl="0" w:tplc="04080007">
      <w:start w:val="1"/>
      <w:numFmt w:val="bullet"/>
      <w:lvlText w:val=""/>
      <w:lvlPicBulletId w:val="0"/>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20" w15:restartNumberingAfterBreak="0">
    <w:nsid w:val="2E791E59"/>
    <w:multiLevelType w:val="hybridMultilevel"/>
    <w:tmpl w:val="9ABA3DDE"/>
    <w:lvl w:ilvl="0" w:tplc="5C467630">
      <w:start w:val="1"/>
      <w:numFmt w:val="decimal"/>
      <w:lvlText w:val="%1."/>
      <w:lvlJc w:val="left"/>
      <w:pPr>
        <w:ind w:left="-180" w:hanging="360"/>
      </w:pPr>
      <w:rPr>
        <w:rFonts w:hint="default"/>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21" w15:restartNumberingAfterBreak="0">
    <w:nsid w:val="3B6D0261"/>
    <w:multiLevelType w:val="hybridMultilevel"/>
    <w:tmpl w:val="BD6A31B4"/>
    <w:lvl w:ilvl="0" w:tplc="6CB49AF2">
      <w:start w:val="5"/>
      <w:numFmt w:val="upp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2BC5CB0"/>
    <w:multiLevelType w:val="hybridMultilevel"/>
    <w:tmpl w:val="17AC84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2DD59CE"/>
    <w:multiLevelType w:val="multilevel"/>
    <w:tmpl w:val="0D6411CC"/>
    <w:lvl w:ilvl="0">
      <w:start w:val="9"/>
      <w:numFmt w:val="decimal"/>
      <w:lvlText w:val="%1"/>
      <w:lvlJc w:val="left"/>
      <w:pPr>
        <w:ind w:left="420" w:hanging="420"/>
      </w:pPr>
      <w:rPr>
        <w:rFonts w:hint="default"/>
      </w:rPr>
    </w:lvl>
    <w:lvl w:ilvl="1">
      <w:start w:val="20"/>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24" w15:restartNumberingAfterBreak="0">
    <w:nsid w:val="467B2592"/>
    <w:multiLevelType w:val="hybridMultilevel"/>
    <w:tmpl w:val="1408BE7C"/>
    <w:lvl w:ilvl="0" w:tplc="E0E65F1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86D4E6D"/>
    <w:multiLevelType w:val="hybridMultilevel"/>
    <w:tmpl w:val="EBAA88A4"/>
    <w:lvl w:ilvl="0" w:tplc="0408000F">
      <w:start w:val="1"/>
      <w:numFmt w:val="decimal"/>
      <w:lvlText w:val="%1."/>
      <w:lvlJc w:val="left"/>
      <w:pPr>
        <w:ind w:left="181" w:hanging="360"/>
      </w:pPr>
    </w:lvl>
    <w:lvl w:ilvl="1" w:tplc="04080019" w:tentative="1">
      <w:start w:val="1"/>
      <w:numFmt w:val="lowerLetter"/>
      <w:lvlText w:val="%2."/>
      <w:lvlJc w:val="left"/>
      <w:pPr>
        <w:ind w:left="901" w:hanging="360"/>
      </w:pPr>
    </w:lvl>
    <w:lvl w:ilvl="2" w:tplc="0408001B" w:tentative="1">
      <w:start w:val="1"/>
      <w:numFmt w:val="lowerRoman"/>
      <w:lvlText w:val="%3."/>
      <w:lvlJc w:val="right"/>
      <w:pPr>
        <w:ind w:left="1621" w:hanging="180"/>
      </w:pPr>
    </w:lvl>
    <w:lvl w:ilvl="3" w:tplc="0408000F" w:tentative="1">
      <w:start w:val="1"/>
      <w:numFmt w:val="decimal"/>
      <w:lvlText w:val="%4."/>
      <w:lvlJc w:val="left"/>
      <w:pPr>
        <w:ind w:left="2341" w:hanging="360"/>
      </w:pPr>
    </w:lvl>
    <w:lvl w:ilvl="4" w:tplc="04080019" w:tentative="1">
      <w:start w:val="1"/>
      <w:numFmt w:val="lowerLetter"/>
      <w:lvlText w:val="%5."/>
      <w:lvlJc w:val="left"/>
      <w:pPr>
        <w:ind w:left="3061" w:hanging="360"/>
      </w:pPr>
    </w:lvl>
    <w:lvl w:ilvl="5" w:tplc="0408001B" w:tentative="1">
      <w:start w:val="1"/>
      <w:numFmt w:val="lowerRoman"/>
      <w:lvlText w:val="%6."/>
      <w:lvlJc w:val="right"/>
      <w:pPr>
        <w:ind w:left="3781" w:hanging="180"/>
      </w:pPr>
    </w:lvl>
    <w:lvl w:ilvl="6" w:tplc="0408000F" w:tentative="1">
      <w:start w:val="1"/>
      <w:numFmt w:val="decimal"/>
      <w:lvlText w:val="%7."/>
      <w:lvlJc w:val="left"/>
      <w:pPr>
        <w:ind w:left="4501" w:hanging="360"/>
      </w:pPr>
    </w:lvl>
    <w:lvl w:ilvl="7" w:tplc="04080019" w:tentative="1">
      <w:start w:val="1"/>
      <w:numFmt w:val="lowerLetter"/>
      <w:lvlText w:val="%8."/>
      <w:lvlJc w:val="left"/>
      <w:pPr>
        <w:ind w:left="5221" w:hanging="360"/>
      </w:pPr>
    </w:lvl>
    <w:lvl w:ilvl="8" w:tplc="0408001B" w:tentative="1">
      <w:start w:val="1"/>
      <w:numFmt w:val="lowerRoman"/>
      <w:lvlText w:val="%9."/>
      <w:lvlJc w:val="right"/>
      <w:pPr>
        <w:ind w:left="5941" w:hanging="180"/>
      </w:pPr>
    </w:lvl>
  </w:abstractNum>
  <w:abstractNum w:abstractNumId="26" w15:restartNumberingAfterBreak="0">
    <w:nsid w:val="487336CF"/>
    <w:multiLevelType w:val="hybridMultilevel"/>
    <w:tmpl w:val="D692162E"/>
    <w:lvl w:ilvl="0" w:tplc="3BC2063C">
      <w:start w:val="1"/>
      <w:numFmt w:val="bullet"/>
      <w:lvlText w:val=""/>
      <w:lvlJc w:val="left"/>
      <w:pPr>
        <w:tabs>
          <w:tab w:val="num" w:pos="432"/>
        </w:tabs>
        <w:ind w:left="432" w:hanging="360"/>
      </w:pPr>
      <w:rPr>
        <w:rFonts w:ascii="Symbol" w:hAnsi="Symbol" w:hint="default"/>
        <w:color w:val="333333"/>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F7574"/>
    <w:multiLevelType w:val="hybridMultilevel"/>
    <w:tmpl w:val="87E02362"/>
    <w:lvl w:ilvl="0" w:tplc="FFFFFFFF">
      <w:start w:val="1"/>
      <w:numFmt w:val="bullet"/>
      <w:lvlText w:val=""/>
      <w:lvlJc w:val="left"/>
      <w:pPr>
        <w:tabs>
          <w:tab w:val="num" w:pos="900"/>
        </w:tabs>
        <w:ind w:left="90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31D6E"/>
    <w:multiLevelType w:val="hybridMultilevel"/>
    <w:tmpl w:val="764CCB60"/>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167167"/>
    <w:multiLevelType w:val="singleLevel"/>
    <w:tmpl w:val="C2304448"/>
    <w:lvl w:ilvl="0">
      <w:start w:val="1"/>
      <w:numFmt w:val="decimal"/>
      <w:lvlText w:val="%1. "/>
      <w:lvlJc w:val="left"/>
      <w:pPr>
        <w:tabs>
          <w:tab w:val="num" w:pos="360"/>
        </w:tabs>
        <w:ind w:left="283" w:hanging="283"/>
      </w:pPr>
      <w:rPr>
        <w:rFonts w:ascii="Times New Roman" w:hAnsi="Times New Roman" w:hint="default"/>
        <w:b w:val="0"/>
        <w:i w:val="0"/>
        <w:sz w:val="24"/>
        <w:u w:val="none"/>
      </w:rPr>
    </w:lvl>
  </w:abstractNum>
  <w:abstractNum w:abstractNumId="30" w15:restartNumberingAfterBreak="0">
    <w:nsid w:val="50D424E2"/>
    <w:multiLevelType w:val="hybridMultilevel"/>
    <w:tmpl w:val="6220D09E"/>
    <w:lvl w:ilvl="0" w:tplc="79C27D7E">
      <w:start w:val="1"/>
      <w:numFmt w:val="lowerRoma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524D1000"/>
    <w:multiLevelType w:val="singleLevel"/>
    <w:tmpl w:val="FB6AB96C"/>
    <w:lvl w:ilvl="0">
      <w:start w:val="1"/>
      <w:numFmt w:val="decimal"/>
      <w:lvlText w:val="%1."/>
      <w:lvlJc w:val="left"/>
      <w:pPr>
        <w:tabs>
          <w:tab w:val="num" w:pos="360"/>
        </w:tabs>
        <w:ind w:left="360" w:hanging="360"/>
      </w:pPr>
      <w:rPr>
        <w:rFonts w:hint="default"/>
      </w:rPr>
    </w:lvl>
  </w:abstractNum>
  <w:abstractNum w:abstractNumId="32" w15:restartNumberingAfterBreak="0">
    <w:nsid w:val="55A54FD9"/>
    <w:multiLevelType w:val="hybridMultilevel"/>
    <w:tmpl w:val="9DE8680E"/>
    <w:lvl w:ilvl="0" w:tplc="0408000B">
      <w:start w:val="1"/>
      <w:numFmt w:val="bullet"/>
      <w:lvlText w:val=""/>
      <w:lvlJc w:val="left"/>
      <w:pPr>
        <w:tabs>
          <w:tab w:val="num" w:pos="720"/>
        </w:tabs>
        <w:ind w:left="720" w:hanging="360"/>
      </w:pPr>
      <w:rPr>
        <w:rFonts w:ascii="Wingdings" w:hAnsi="Wingdings" w:hint="default"/>
        <w:b/>
        <w:i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8000B" w:tentative="1">
      <w:start w:val="1"/>
      <w:numFmt w:val="bullet"/>
      <w:lvlText w:val="o"/>
      <w:lvlJc w:val="left"/>
      <w:pPr>
        <w:tabs>
          <w:tab w:val="num" w:pos="1440"/>
        </w:tabs>
        <w:ind w:left="1440" w:hanging="360"/>
      </w:pPr>
      <w:rPr>
        <w:rFonts w:ascii="Courier New" w:hAnsi="Courier New" w:cs="Courier New" w:hint="default"/>
      </w:rPr>
    </w:lvl>
    <w:lvl w:ilvl="2" w:tplc="42D09C16"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A67D53"/>
    <w:multiLevelType w:val="hybridMultilevel"/>
    <w:tmpl w:val="5A2A524C"/>
    <w:lvl w:ilvl="0" w:tplc="7BAAA846">
      <w:start w:val="8"/>
      <w:numFmt w:val="upp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6FE043A"/>
    <w:multiLevelType w:val="hybridMultilevel"/>
    <w:tmpl w:val="8E5618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588E134E"/>
    <w:multiLevelType w:val="hybridMultilevel"/>
    <w:tmpl w:val="F4D05A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58AB5272"/>
    <w:multiLevelType w:val="multilevel"/>
    <w:tmpl w:val="1A1055A8"/>
    <w:lvl w:ilvl="0">
      <w:start w:val="1"/>
      <w:numFmt w:val="decimal"/>
      <w:lvlText w:val="%1."/>
      <w:lvlJc w:val="left"/>
      <w:pPr>
        <w:tabs>
          <w:tab w:val="num" w:pos="-180"/>
        </w:tabs>
        <w:ind w:left="-180" w:hanging="360"/>
      </w:pPr>
      <w:rPr>
        <w:rFonts w:hint="default"/>
      </w:rPr>
    </w:lvl>
    <w:lvl w:ilvl="1">
      <w:start w:val="21"/>
      <w:numFmt w:val="decimal"/>
      <w:isLgl/>
      <w:lvlText w:val="%1.%2."/>
      <w:lvlJc w:val="left"/>
      <w:pPr>
        <w:ind w:left="-15" w:hanging="525"/>
      </w:pPr>
      <w:rPr>
        <w:rFonts w:hint="default"/>
      </w:rPr>
    </w:lvl>
    <w:lvl w:ilvl="2">
      <w:start w:val="1"/>
      <w:numFmt w:val="decimal"/>
      <w:isLgl/>
      <w:lvlText w:val="%1.%2.%3."/>
      <w:lvlJc w:val="left"/>
      <w:pPr>
        <w:ind w:left="180" w:hanging="720"/>
      </w:pPr>
      <w:rPr>
        <w:rFonts w:hint="default"/>
      </w:rPr>
    </w:lvl>
    <w:lvl w:ilvl="3">
      <w:start w:val="1"/>
      <w:numFmt w:val="decimal"/>
      <w:isLgl/>
      <w:lvlText w:val="%1.%2.%3.%4."/>
      <w:lvlJc w:val="left"/>
      <w:pPr>
        <w:ind w:left="180" w:hanging="72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540" w:hanging="1080"/>
      </w:pPr>
      <w:rPr>
        <w:rFonts w:hint="default"/>
      </w:rPr>
    </w:lvl>
    <w:lvl w:ilvl="6">
      <w:start w:val="1"/>
      <w:numFmt w:val="decimal"/>
      <w:isLgl/>
      <w:lvlText w:val="%1.%2.%3.%4.%5.%6.%7."/>
      <w:lvlJc w:val="left"/>
      <w:pPr>
        <w:ind w:left="900" w:hanging="1440"/>
      </w:pPr>
      <w:rPr>
        <w:rFonts w:hint="default"/>
      </w:rPr>
    </w:lvl>
    <w:lvl w:ilvl="7">
      <w:start w:val="1"/>
      <w:numFmt w:val="decimal"/>
      <w:isLgl/>
      <w:lvlText w:val="%1.%2.%3.%4.%5.%6.%7.%8."/>
      <w:lvlJc w:val="left"/>
      <w:pPr>
        <w:ind w:left="900" w:hanging="1440"/>
      </w:pPr>
      <w:rPr>
        <w:rFonts w:hint="default"/>
      </w:rPr>
    </w:lvl>
    <w:lvl w:ilvl="8">
      <w:start w:val="1"/>
      <w:numFmt w:val="decimal"/>
      <w:isLgl/>
      <w:lvlText w:val="%1.%2.%3.%4.%5.%6.%7.%8.%9."/>
      <w:lvlJc w:val="left"/>
      <w:pPr>
        <w:ind w:left="1260" w:hanging="1800"/>
      </w:pPr>
      <w:rPr>
        <w:rFonts w:hint="default"/>
      </w:rPr>
    </w:lvl>
  </w:abstractNum>
  <w:abstractNum w:abstractNumId="37" w15:restartNumberingAfterBreak="0">
    <w:nsid w:val="590E2483"/>
    <w:multiLevelType w:val="hybridMultilevel"/>
    <w:tmpl w:val="E2461A4A"/>
    <w:lvl w:ilvl="0" w:tplc="3BC2063C">
      <w:start w:val="1"/>
      <w:numFmt w:val="bullet"/>
      <w:lvlText w:val=""/>
      <w:lvlJc w:val="left"/>
      <w:pPr>
        <w:tabs>
          <w:tab w:val="num" w:pos="432"/>
        </w:tabs>
        <w:ind w:left="432" w:hanging="360"/>
      </w:pPr>
      <w:rPr>
        <w:rFonts w:ascii="Symbol" w:hAnsi="Symbol" w:hint="default"/>
        <w:color w:val="333333"/>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70790C"/>
    <w:multiLevelType w:val="hybridMultilevel"/>
    <w:tmpl w:val="AAE8129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59E55EE4"/>
    <w:multiLevelType w:val="hybridMultilevel"/>
    <w:tmpl w:val="38601D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60F312CB"/>
    <w:multiLevelType w:val="multilevel"/>
    <w:tmpl w:val="32E866A8"/>
    <w:lvl w:ilvl="0">
      <w:start w:val="9"/>
      <w:numFmt w:val="decimal"/>
      <w:lvlText w:val="%1."/>
      <w:lvlJc w:val="left"/>
      <w:pPr>
        <w:ind w:left="480" w:hanging="480"/>
      </w:pPr>
      <w:rPr>
        <w:rFonts w:hint="default"/>
      </w:rPr>
    </w:lvl>
    <w:lvl w:ilvl="1">
      <w:start w:val="20"/>
      <w:numFmt w:val="decimal"/>
      <w:lvlText w:val="%1.%2."/>
      <w:lvlJc w:val="left"/>
      <w:pPr>
        <w:ind w:left="465" w:hanging="48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1" w15:restartNumberingAfterBreak="0">
    <w:nsid w:val="65245F0D"/>
    <w:multiLevelType w:val="hybridMultilevel"/>
    <w:tmpl w:val="915AB018"/>
    <w:lvl w:ilvl="0" w:tplc="F8A44914">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173B97"/>
    <w:multiLevelType w:val="hybridMultilevel"/>
    <w:tmpl w:val="B8947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75D1ECD"/>
    <w:multiLevelType w:val="hybridMultilevel"/>
    <w:tmpl w:val="D46A7F46"/>
    <w:lvl w:ilvl="0" w:tplc="0218C58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69971A0A"/>
    <w:multiLevelType w:val="hybridMultilevel"/>
    <w:tmpl w:val="3B9C30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B9C7B4A"/>
    <w:multiLevelType w:val="multilevel"/>
    <w:tmpl w:val="143A48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FF30AA5"/>
    <w:multiLevelType w:val="hybridMultilevel"/>
    <w:tmpl w:val="1AA44A1E"/>
    <w:lvl w:ilvl="0" w:tplc="0408000F">
      <w:start w:val="1"/>
      <w:numFmt w:val="decimal"/>
      <w:lvlText w:val="%1."/>
      <w:lvlJc w:val="left"/>
      <w:pPr>
        <w:ind w:left="180" w:hanging="360"/>
      </w:p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47" w15:restartNumberingAfterBreak="0">
    <w:nsid w:val="70B47A37"/>
    <w:multiLevelType w:val="singleLevel"/>
    <w:tmpl w:val="A5F89186"/>
    <w:lvl w:ilvl="0">
      <w:start w:val="1"/>
      <w:numFmt w:val="decimal"/>
      <w:lvlText w:val="%1. "/>
      <w:lvlJc w:val="left"/>
      <w:pPr>
        <w:tabs>
          <w:tab w:val="num" w:pos="360"/>
        </w:tabs>
        <w:ind w:left="283" w:hanging="283"/>
      </w:pPr>
      <w:rPr>
        <w:rFonts w:ascii="Times New Roman" w:hAnsi="Times New Roman" w:hint="default"/>
        <w:b w:val="0"/>
        <w:i w:val="0"/>
        <w:sz w:val="24"/>
        <w:u w:val="none"/>
      </w:rPr>
    </w:lvl>
  </w:abstractNum>
  <w:abstractNum w:abstractNumId="48" w15:restartNumberingAfterBreak="0">
    <w:nsid w:val="7B5A089A"/>
    <w:multiLevelType w:val="singleLevel"/>
    <w:tmpl w:val="94D053B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9" w15:restartNumberingAfterBreak="0">
    <w:nsid w:val="7C2E54D8"/>
    <w:multiLevelType w:val="hybridMultilevel"/>
    <w:tmpl w:val="89447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1"/>
  </w:num>
  <w:num w:numId="3">
    <w:abstractNumId w:val="45"/>
  </w:num>
  <w:num w:numId="4">
    <w:abstractNumId w:val="5"/>
  </w:num>
  <w:num w:numId="5">
    <w:abstractNumId w:val="32"/>
  </w:num>
  <w:num w:numId="6">
    <w:abstractNumId w:val="7"/>
  </w:num>
  <w:num w:numId="7">
    <w:abstractNumId w:val="14"/>
  </w:num>
  <w:num w:numId="8">
    <w:abstractNumId w:val="30"/>
  </w:num>
  <w:num w:numId="9">
    <w:abstractNumId w:val="27"/>
  </w:num>
  <w:num w:numId="10">
    <w:abstractNumId w:val="20"/>
  </w:num>
  <w:num w:numId="11">
    <w:abstractNumId w:val="31"/>
  </w:num>
  <w:num w:numId="12">
    <w:abstractNumId w:val="43"/>
  </w:num>
  <w:num w:numId="13">
    <w:abstractNumId w:val="10"/>
  </w:num>
  <w:num w:numId="14">
    <w:abstractNumId w:val="0"/>
    <w:lvlOverride w:ilvl="0">
      <w:lvl w:ilvl="0">
        <w:start w:val="65535"/>
        <w:numFmt w:val="bullet"/>
        <w:lvlText w:val="■"/>
        <w:legacy w:legacy="1" w:legacySpace="0" w:legacyIndent="345"/>
        <w:lvlJc w:val="left"/>
        <w:rPr>
          <w:rFonts w:ascii="Book Antiqua" w:hAnsi="Book Antiqua" w:hint="default"/>
        </w:rPr>
      </w:lvl>
    </w:lvlOverride>
  </w:num>
  <w:num w:numId="15">
    <w:abstractNumId w:val="28"/>
  </w:num>
  <w:num w:numId="16">
    <w:abstractNumId w:val="21"/>
  </w:num>
  <w:num w:numId="17">
    <w:abstractNumId w:val="15"/>
  </w:num>
  <w:num w:numId="18">
    <w:abstractNumId w:val="4"/>
  </w:num>
  <w:num w:numId="19">
    <w:abstractNumId w:val="33"/>
  </w:num>
  <w:num w:numId="20">
    <w:abstractNumId w:val="49"/>
  </w:num>
  <w:num w:numId="21">
    <w:abstractNumId w:val="24"/>
  </w:num>
  <w:num w:numId="22">
    <w:abstractNumId w:val="29"/>
  </w:num>
  <w:num w:numId="23">
    <w:abstractNumId w:val="48"/>
  </w:num>
  <w:num w:numId="24">
    <w:abstractNumId w:val="47"/>
  </w:num>
  <w:num w:numId="25">
    <w:abstractNumId w:val="34"/>
  </w:num>
  <w:num w:numId="26">
    <w:abstractNumId w:val="44"/>
  </w:num>
  <w:num w:numId="27">
    <w:abstractNumId w:val="11"/>
  </w:num>
  <w:num w:numId="28">
    <w:abstractNumId w:val="38"/>
  </w:num>
  <w:num w:numId="29">
    <w:abstractNumId w:val="8"/>
  </w:num>
  <w:num w:numId="30">
    <w:abstractNumId w:val="26"/>
  </w:num>
  <w:num w:numId="31">
    <w:abstractNumId w:val="39"/>
  </w:num>
  <w:num w:numId="32">
    <w:abstractNumId w:val="37"/>
  </w:num>
  <w:num w:numId="33">
    <w:abstractNumId w:val="2"/>
  </w:num>
  <w:num w:numId="34">
    <w:abstractNumId w:val="6"/>
  </w:num>
  <w:num w:numId="35">
    <w:abstractNumId w:val="35"/>
  </w:num>
  <w:num w:numId="36">
    <w:abstractNumId w:val="36"/>
  </w:num>
  <w:num w:numId="37">
    <w:abstractNumId w:val="23"/>
  </w:num>
  <w:num w:numId="38">
    <w:abstractNumId w:val="46"/>
  </w:num>
  <w:num w:numId="39">
    <w:abstractNumId w:val="18"/>
  </w:num>
  <w:num w:numId="40">
    <w:abstractNumId w:val="13"/>
  </w:num>
  <w:num w:numId="41">
    <w:abstractNumId w:val="16"/>
  </w:num>
  <w:num w:numId="42">
    <w:abstractNumId w:val="22"/>
  </w:num>
  <w:num w:numId="43">
    <w:abstractNumId w:val="42"/>
  </w:num>
  <w:num w:numId="44">
    <w:abstractNumId w:val="3"/>
  </w:num>
  <w:num w:numId="45">
    <w:abstractNumId w:val="25"/>
  </w:num>
  <w:num w:numId="46">
    <w:abstractNumId w:val="40"/>
  </w:num>
  <w:num w:numId="47">
    <w:abstractNumId w:val="9"/>
  </w:num>
  <w:num w:numId="48">
    <w:abstractNumId w:val="12"/>
  </w:num>
  <w:num w:numId="49">
    <w:abstractNumId w:val="19"/>
  </w:num>
  <w:num w:numId="50">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A1"/>
    <w:rsid w:val="0000062F"/>
    <w:rsid w:val="00002267"/>
    <w:rsid w:val="00003902"/>
    <w:rsid w:val="000054DE"/>
    <w:rsid w:val="00006DFE"/>
    <w:rsid w:val="000071A1"/>
    <w:rsid w:val="000073A1"/>
    <w:rsid w:val="0001039D"/>
    <w:rsid w:val="000103DE"/>
    <w:rsid w:val="00011757"/>
    <w:rsid w:val="00011E5F"/>
    <w:rsid w:val="00013EAC"/>
    <w:rsid w:val="00015219"/>
    <w:rsid w:val="0001744A"/>
    <w:rsid w:val="00017DD4"/>
    <w:rsid w:val="00017ED2"/>
    <w:rsid w:val="00021129"/>
    <w:rsid w:val="00021B9B"/>
    <w:rsid w:val="00023E47"/>
    <w:rsid w:val="00024E16"/>
    <w:rsid w:val="00024F8A"/>
    <w:rsid w:val="000251D7"/>
    <w:rsid w:val="00025B88"/>
    <w:rsid w:val="00025E7F"/>
    <w:rsid w:val="00026455"/>
    <w:rsid w:val="00026598"/>
    <w:rsid w:val="000267B7"/>
    <w:rsid w:val="0003066A"/>
    <w:rsid w:val="00030E86"/>
    <w:rsid w:val="00031061"/>
    <w:rsid w:val="00031370"/>
    <w:rsid w:val="00031506"/>
    <w:rsid w:val="0003193C"/>
    <w:rsid w:val="0003219B"/>
    <w:rsid w:val="000327E0"/>
    <w:rsid w:val="00032E73"/>
    <w:rsid w:val="00034004"/>
    <w:rsid w:val="00035028"/>
    <w:rsid w:val="00040220"/>
    <w:rsid w:val="00041B94"/>
    <w:rsid w:val="000429D6"/>
    <w:rsid w:val="000432AF"/>
    <w:rsid w:val="000433D7"/>
    <w:rsid w:val="00043E16"/>
    <w:rsid w:val="00044AE5"/>
    <w:rsid w:val="00044F92"/>
    <w:rsid w:val="00045365"/>
    <w:rsid w:val="00046659"/>
    <w:rsid w:val="00047373"/>
    <w:rsid w:val="00050173"/>
    <w:rsid w:val="00052688"/>
    <w:rsid w:val="00053633"/>
    <w:rsid w:val="000541EB"/>
    <w:rsid w:val="00055AA7"/>
    <w:rsid w:val="00057F68"/>
    <w:rsid w:val="00060ED4"/>
    <w:rsid w:val="00061F48"/>
    <w:rsid w:val="00062098"/>
    <w:rsid w:val="0006291C"/>
    <w:rsid w:val="000629AE"/>
    <w:rsid w:val="00062F4A"/>
    <w:rsid w:val="0006366F"/>
    <w:rsid w:val="0006387B"/>
    <w:rsid w:val="00064725"/>
    <w:rsid w:val="000654C1"/>
    <w:rsid w:val="000669D2"/>
    <w:rsid w:val="00066C77"/>
    <w:rsid w:val="00066C91"/>
    <w:rsid w:val="00066E5F"/>
    <w:rsid w:val="00071756"/>
    <w:rsid w:val="00072C00"/>
    <w:rsid w:val="00072CBA"/>
    <w:rsid w:val="000731C0"/>
    <w:rsid w:val="000740A8"/>
    <w:rsid w:val="000806E1"/>
    <w:rsid w:val="0008134D"/>
    <w:rsid w:val="00081AC3"/>
    <w:rsid w:val="00081D9C"/>
    <w:rsid w:val="00082146"/>
    <w:rsid w:val="0008290D"/>
    <w:rsid w:val="00083743"/>
    <w:rsid w:val="000854CB"/>
    <w:rsid w:val="00090324"/>
    <w:rsid w:val="000906C7"/>
    <w:rsid w:val="00092AD7"/>
    <w:rsid w:val="0009353B"/>
    <w:rsid w:val="00094A4F"/>
    <w:rsid w:val="00096801"/>
    <w:rsid w:val="000A04C5"/>
    <w:rsid w:val="000A08AE"/>
    <w:rsid w:val="000A161A"/>
    <w:rsid w:val="000A20F0"/>
    <w:rsid w:val="000A2621"/>
    <w:rsid w:val="000A2FFF"/>
    <w:rsid w:val="000A340F"/>
    <w:rsid w:val="000A3453"/>
    <w:rsid w:val="000A6701"/>
    <w:rsid w:val="000A6E03"/>
    <w:rsid w:val="000A6E92"/>
    <w:rsid w:val="000B0776"/>
    <w:rsid w:val="000B0880"/>
    <w:rsid w:val="000B2666"/>
    <w:rsid w:val="000B35D6"/>
    <w:rsid w:val="000B3D00"/>
    <w:rsid w:val="000B4634"/>
    <w:rsid w:val="000B6AD3"/>
    <w:rsid w:val="000B7555"/>
    <w:rsid w:val="000C04AD"/>
    <w:rsid w:val="000C0B57"/>
    <w:rsid w:val="000C1142"/>
    <w:rsid w:val="000C215B"/>
    <w:rsid w:val="000C3381"/>
    <w:rsid w:val="000C3AE0"/>
    <w:rsid w:val="000C41EE"/>
    <w:rsid w:val="000C5694"/>
    <w:rsid w:val="000C5702"/>
    <w:rsid w:val="000C7222"/>
    <w:rsid w:val="000C7FBA"/>
    <w:rsid w:val="000D078D"/>
    <w:rsid w:val="000D089A"/>
    <w:rsid w:val="000D0E7E"/>
    <w:rsid w:val="000D2531"/>
    <w:rsid w:val="000D43DE"/>
    <w:rsid w:val="000D4813"/>
    <w:rsid w:val="000D4D1B"/>
    <w:rsid w:val="000D6888"/>
    <w:rsid w:val="000D79DE"/>
    <w:rsid w:val="000D7BB7"/>
    <w:rsid w:val="000E02EA"/>
    <w:rsid w:val="000E0595"/>
    <w:rsid w:val="000E07DC"/>
    <w:rsid w:val="000E35A7"/>
    <w:rsid w:val="000E364A"/>
    <w:rsid w:val="000E3B3C"/>
    <w:rsid w:val="000E4175"/>
    <w:rsid w:val="000E78AC"/>
    <w:rsid w:val="000E7CC4"/>
    <w:rsid w:val="000E7F9C"/>
    <w:rsid w:val="000F032F"/>
    <w:rsid w:val="000F136B"/>
    <w:rsid w:val="000F2039"/>
    <w:rsid w:val="000F2743"/>
    <w:rsid w:val="000F3194"/>
    <w:rsid w:val="000F3739"/>
    <w:rsid w:val="000F3BCF"/>
    <w:rsid w:val="000F453C"/>
    <w:rsid w:val="000F55CE"/>
    <w:rsid w:val="000F5C2C"/>
    <w:rsid w:val="000F6CFB"/>
    <w:rsid w:val="000F6F58"/>
    <w:rsid w:val="0010020F"/>
    <w:rsid w:val="00101288"/>
    <w:rsid w:val="00101DB7"/>
    <w:rsid w:val="00102277"/>
    <w:rsid w:val="00102D37"/>
    <w:rsid w:val="001034B4"/>
    <w:rsid w:val="00103601"/>
    <w:rsid w:val="00103CD9"/>
    <w:rsid w:val="00105DBF"/>
    <w:rsid w:val="001074C4"/>
    <w:rsid w:val="00111054"/>
    <w:rsid w:val="001112C1"/>
    <w:rsid w:val="00111B89"/>
    <w:rsid w:val="0011439C"/>
    <w:rsid w:val="00116DE2"/>
    <w:rsid w:val="00117231"/>
    <w:rsid w:val="001203EC"/>
    <w:rsid w:val="001204F1"/>
    <w:rsid w:val="00121423"/>
    <w:rsid w:val="00121EB7"/>
    <w:rsid w:val="001226D6"/>
    <w:rsid w:val="00125389"/>
    <w:rsid w:val="00126432"/>
    <w:rsid w:val="00126DBE"/>
    <w:rsid w:val="00126E61"/>
    <w:rsid w:val="001271B8"/>
    <w:rsid w:val="00127224"/>
    <w:rsid w:val="00127972"/>
    <w:rsid w:val="00127C96"/>
    <w:rsid w:val="00127EF8"/>
    <w:rsid w:val="00127F23"/>
    <w:rsid w:val="00130196"/>
    <w:rsid w:val="001302F3"/>
    <w:rsid w:val="00131A4A"/>
    <w:rsid w:val="00133623"/>
    <w:rsid w:val="00133A9F"/>
    <w:rsid w:val="001344B1"/>
    <w:rsid w:val="00134884"/>
    <w:rsid w:val="00135119"/>
    <w:rsid w:val="001357B8"/>
    <w:rsid w:val="00136D1E"/>
    <w:rsid w:val="001410B0"/>
    <w:rsid w:val="001431B1"/>
    <w:rsid w:val="0014334C"/>
    <w:rsid w:val="001437C8"/>
    <w:rsid w:val="0014520E"/>
    <w:rsid w:val="00145C22"/>
    <w:rsid w:val="00145E3B"/>
    <w:rsid w:val="00145F02"/>
    <w:rsid w:val="0014727B"/>
    <w:rsid w:val="0014795D"/>
    <w:rsid w:val="001509A1"/>
    <w:rsid w:val="00150B45"/>
    <w:rsid w:val="00151876"/>
    <w:rsid w:val="001533E0"/>
    <w:rsid w:val="0015459C"/>
    <w:rsid w:val="00154651"/>
    <w:rsid w:val="001569CC"/>
    <w:rsid w:val="001569FB"/>
    <w:rsid w:val="00156D7A"/>
    <w:rsid w:val="00157541"/>
    <w:rsid w:val="00157C71"/>
    <w:rsid w:val="0016073F"/>
    <w:rsid w:val="0016087F"/>
    <w:rsid w:val="00160A62"/>
    <w:rsid w:val="00161282"/>
    <w:rsid w:val="001644FC"/>
    <w:rsid w:val="00164C4D"/>
    <w:rsid w:val="0016672F"/>
    <w:rsid w:val="001667DF"/>
    <w:rsid w:val="00167F65"/>
    <w:rsid w:val="00172E00"/>
    <w:rsid w:val="001746AF"/>
    <w:rsid w:val="00175643"/>
    <w:rsid w:val="001762AD"/>
    <w:rsid w:val="00176354"/>
    <w:rsid w:val="00176489"/>
    <w:rsid w:val="001764E9"/>
    <w:rsid w:val="001779C5"/>
    <w:rsid w:val="00177A05"/>
    <w:rsid w:val="00177A1D"/>
    <w:rsid w:val="00182C88"/>
    <w:rsid w:val="001862FF"/>
    <w:rsid w:val="0018659E"/>
    <w:rsid w:val="00186925"/>
    <w:rsid w:val="00186EEB"/>
    <w:rsid w:val="0018768F"/>
    <w:rsid w:val="00187D5B"/>
    <w:rsid w:val="00191560"/>
    <w:rsid w:val="00192D73"/>
    <w:rsid w:val="0019366C"/>
    <w:rsid w:val="001941BF"/>
    <w:rsid w:val="00194944"/>
    <w:rsid w:val="00194F3C"/>
    <w:rsid w:val="00195028"/>
    <w:rsid w:val="001951B6"/>
    <w:rsid w:val="00195E52"/>
    <w:rsid w:val="00195F70"/>
    <w:rsid w:val="001A0510"/>
    <w:rsid w:val="001A0648"/>
    <w:rsid w:val="001A06BA"/>
    <w:rsid w:val="001A0EAC"/>
    <w:rsid w:val="001A0EB5"/>
    <w:rsid w:val="001A133C"/>
    <w:rsid w:val="001A2803"/>
    <w:rsid w:val="001A3275"/>
    <w:rsid w:val="001A332F"/>
    <w:rsid w:val="001A4301"/>
    <w:rsid w:val="001A5116"/>
    <w:rsid w:val="001B122A"/>
    <w:rsid w:val="001B13ED"/>
    <w:rsid w:val="001B1F6D"/>
    <w:rsid w:val="001B23FE"/>
    <w:rsid w:val="001B3894"/>
    <w:rsid w:val="001B514F"/>
    <w:rsid w:val="001B5351"/>
    <w:rsid w:val="001B5E5C"/>
    <w:rsid w:val="001B6705"/>
    <w:rsid w:val="001B7B2E"/>
    <w:rsid w:val="001B7B5B"/>
    <w:rsid w:val="001C0286"/>
    <w:rsid w:val="001C0C89"/>
    <w:rsid w:val="001C11A6"/>
    <w:rsid w:val="001C133C"/>
    <w:rsid w:val="001C16F9"/>
    <w:rsid w:val="001C179A"/>
    <w:rsid w:val="001C2B84"/>
    <w:rsid w:val="001C3083"/>
    <w:rsid w:val="001C4102"/>
    <w:rsid w:val="001C4CA3"/>
    <w:rsid w:val="001C4E79"/>
    <w:rsid w:val="001C5123"/>
    <w:rsid w:val="001C54A0"/>
    <w:rsid w:val="001C5F9C"/>
    <w:rsid w:val="001C62AA"/>
    <w:rsid w:val="001C6FD9"/>
    <w:rsid w:val="001C7913"/>
    <w:rsid w:val="001D1078"/>
    <w:rsid w:val="001D35BA"/>
    <w:rsid w:val="001D39E6"/>
    <w:rsid w:val="001D4467"/>
    <w:rsid w:val="001E0B35"/>
    <w:rsid w:val="001E1332"/>
    <w:rsid w:val="001E2E86"/>
    <w:rsid w:val="001E3037"/>
    <w:rsid w:val="001E5657"/>
    <w:rsid w:val="001E5A53"/>
    <w:rsid w:val="001E6ED7"/>
    <w:rsid w:val="001F083D"/>
    <w:rsid w:val="001F0AEB"/>
    <w:rsid w:val="001F0F96"/>
    <w:rsid w:val="001F1CAF"/>
    <w:rsid w:val="001F355F"/>
    <w:rsid w:val="001F37C0"/>
    <w:rsid w:val="001F62E4"/>
    <w:rsid w:val="001F6B56"/>
    <w:rsid w:val="001F79A3"/>
    <w:rsid w:val="0020008D"/>
    <w:rsid w:val="0020040F"/>
    <w:rsid w:val="00202CC8"/>
    <w:rsid w:val="0020329E"/>
    <w:rsid w:val="0020343B"/>
    <w:rsid w:val="0020366B"/>
    <w:rsid w:val="00203920"/>
    <w:rsid w:val="00203BF3"/>
    <w:rsid w:val="00203F12"/>
    <w:rsid w:val="00204075"/>
    <w:rsid w:val="00207424"/>
    <w:rsid w:val="00210E1B"/>
    <w:rsid w:val="002114A1"/>
    <w:rsid w:val="002119E8"/>
    <w:rsid w:val="00213A25"/>
    <w:rsid w:val="0021477B"/>
    <w:rsid w:val="00214A55"/>
    <w:rsid w:val="002151DA"/>
    <w:rsid w:val="00216104"/>
    <w:rsid w:val="00216C59"/>
    <w:rsid w:val="002204E4"/>
    <w:rsid w:val="00220D4B"/>
    <w:rsid w:val="00221377"/>
    <w:rsid w:val="002218C8"/>
    <w:rsid w:val="00221B31"/>
    <w:rsid w:val="0022290F"/>
    <w:rsid w:val="00224C23"/>
    <w:rsid w:val="00225567"/>
    <w:rsid w:val="002269DB"/>
    <w:rsid w:val="00226AE1"/>
    <w:rsid w:val="002271D9"/>
    <w:rsid w:val="00230E8E"/>
    <w:rsid w:val="00231120"/>
    <w:rsid w:val="00233D3C"/>
    <w:rsid w:val="00234748"/>
    <w:rsid w:val="002357D0"/>
    <w:rsid w:val="0023736C"/>
    <w:rsid w:val="0023775E"/>
    <w:rsid w:val="00237D93"/>
    <w:rsid w:val="00241E63"/>
    <w:rsid w:val="002429EE"/>
    <w:rsid w:val="00243367"/>
    <w:rsid w:val="0024434C"/>
    <w:rsid w:val="00244952"/>
    <w:rsid w:val="00245DB7"/>
    <w:rsid w:val="00245E7D"/>
    <w:rsid w:val="00247C2C"/>
    <w:rsid w:val="00250E6D"/>
    <w:rsid w:val="002529EA"/>
    <w:rsid w:val="00252F18"/>
    <w:rsid w:val="00254612"/>
    <w:rsid w:val="0025494D"/>
    <w:rsid w:val="00255056"/>
    <w:rsid w:val="002550BF"/>
    <w:rsid w:val="0025524E"/>
    <w:rsid w:val="00256637"/>
    <w:rsid w:val="002577B1"/>
    <w:rsid w:val="00257A2C"/>
    <w:rsid w:val="00257E48"/>
    <w:rsid w:val="00257F5B"/>
    <w:rsid w:val="00261016"/>
    <w:rsid w:val="00261A58"/>
    <w:rsid w:val="00261DC5"/>
    <w:rsid w:val="0026270C"/>
    <w:rsid w:val="002638DE"/>
    <w:rsid w:val="0026564B"/>
    <w:rsid w:val="002671EF"/>
    <w:rsid w:val="00271135"/>
    <w:rsid w:val="00271BCD"/>
    <w:rsid w:val="00271CBA"/>
    <w:rsid w:val="00272626"/>
    <w:rsid w:val="002730EA"/>
    <w:rsid w:val="0027404A"/>
    <w:rsid w:val="00274E67"/>
    <w:rsid w:val="00274FC6"/>
    <w:rsid w:val="0027617E"/>
    <w:rsid w:val="0028380B"/>
    <w:rsid w:val="00283EDF"/>
    <w:rsid w:val="002849B9"/>
    <w:rsid w:val="00286B87"/>
    <w:rsid w:val="002876E5"/>
    <w:rsid w:val="002902BB"/>
    <w:rsid w:val="00291398"/>
    <w:rsid w:val="002919BC"/>
    <w:rsid w:val="00292CF4"/>
    <w:rsid w:val="002954DF"/>
    <w:rsid w:val="00296FDC"/>
    <w:rsid w:val="002A0BF4"/>
    <w:rsid w:val="002A0C67"/>
    <w:rsid w:val="002A10E6"/>
    <w:rsid w:val="002A132B"/>
    <w:rsid w:val="002A268D"/>
    <w:rsid w:val="002A4BBF"/>
    <w:rsid w:val="002A5F14"/>
    <w:rsid w:val="002A66C1"/>
    <w:rsid w:val="002B0D53"/>
    <w:rsid w:val="002B16C0"/>
    <w:rsid w:val="002B355C"/>
    <w:rsid w:val="002B4D18"/>
    <w:rsid w:val="002B51BC"/>
    <w:rsid w:val="002B5FC7"/>
    <w:rsid w:val="002B71EC"/>
    <w:rsid w:val="002B784D"/>
    <w:rsid w:val="002B7978"/>
    <w:rsid w:val="002B7AD0"/>
    <w:rsid w:val="002C02A3"/>
    <w:rsid w:val="002C1251"/>
    <w:rsid w:val="002C3F8B"/>
    <w:rsid w:val="002C407F"/>
    <w:rsid w:val="002C4687"/>
    <w:rsid w:val="002C567B"/>
    <w:rsid w:val="002C5D9D"/>
    <w:rsid w:val="002C60C5"/>
    <w:rsid w:val="002C61DC"/>
    <w:rsid w:val="002C645D"/>
    <w:rsid w:val="002C6DC6"/>
    <w:rsid w:val="002D01A8"/>
    <w:rsid w:val="002D0D37"/>
    <w:rsid w:val="002D0D93"/>
    <w:rsid w:val="002D1640"/>
    <w:rsid w:val="002D1813"/>
    <w:rsid w:val="002D264D"/>
    <w:rsid w:val="002D3175"/>
    <w:rsid w:val="002D360E"/>
    <w:rsid w:val="002D66DE"/>
    <w:rsid w:val="002E018E"/>
    <w:rsid w:val="002E15EA"/>
    <w:rsid w:val="002E1F5E"/>
    <w:rsid w:val="002E4B35"/>
    <w:rsid w:val="002E51C9"/>
    <w:rsid w:val="002F13CC"/>
    <w:rsid w:val="002F288C"/>
    <w:rsid w:val="002F322C"/>
    <w:rsid w:val="002F4897"/>
    <w:rsid w:val="002F4CA9"/>
    <w:rsid w:val="002F649C"/>
    <w:rsid w:val="002F6716"/>
    <w:rsid w:val="002F7A73"/>
    <w:rsid w:val="0030157F"/>
    <w:rsid w:val="00302895"/>
    <w:rsid w:val="003031BE"/>
    <w:rsid w:val="00305015"/>
    <w:rsid w:val="00305536"/>
    <w:rsid w:val="0030593F"/>
    <w:rsid w:val="00305A9D"/>
    <w:rsid w:val="0030632F"/>
    <w:rsid w:val="003076FC"/>
    <w:rsid w:val="00307750"/>
    <w:rsid w:val="00311129"/>
    <w:rsid w:val="00311139"/>
    <w:rsid w:val="00315CCE"/>
    <w:rsid w:val="00316675"/>
    <w:rsid w:val="0031691B"/>
    <w:rsid w:val="00320CA6"/>
    <w:rsid w:val="003222F2"/>
    <w:rsid w:val="003233FD"/>
    <w:rsid w:val="00323EEC"/>
    <w:rsid w:val="00324E3A"/>
    <w:rsid w:val="00325ED7"/>
    <w:rsid w:val="00326400"/>
    <w:rsid w:val="00326B4A"/>
    <w:rsid w:val="00327742"/>
    <w:rsid w:val="00327EA0"/>
    <w:rsid w:val="00330635"/>
    <w:rsid w:val="00330B76"/>
    <w:rsid w:val="00330BCE"/>
    <w:rsid w:val="00332FDE"/>
    <w:rsid w:val="00333620"/>
    <w:rsid w:val="00333B52"/>
    <w:rsid w:val="00334FC6"/>
    <w:rsid w:val="003359CF"/>
    <w:rsid w:val="00335E15"/>
    <w:rsid w:val="0033707A"/>
    <w:rsid w:val="0033731F"/>
    <w:rsid w:val="00337FE8"/>
    <w:rsid w:val="003413DF"/>
    <w:rsid w:val="003419BC"/>
    <w:rsid w:val="00341A9C"/>
    <w:rsid w:val="003431A2"/>
    <w:rsid w:val="003439D5"/>
    <w:rsid w:val="003439F0"/>
    <w:rsid w:val="00345168"/>
    <w:rsid w:val="0034651A"/>
    <w:rsid w:val="00346A82"/>
    <w:rsid w:val="00346ADE"/>
    <w:rsid w:val="00346AF9"/>
    <w:rsid w:val="0034732F"/>
    <w:rsid w:val="00347867"/>
    <w:rsid w:val="00347FC9"/>
    <w:rsid w:val="003502A3"/>
    <w:rsid w:val="0035043A"/>
    <w:rsid w:val="00350C20"/>
    <w:rsid w:val="00350E7F"/>
    <w:rsid w:val="0035291B"/>
    <w:rsid w:val="003533DF"/>
    <w:rsid w:val="0035390F"/>
    <w:rsid w:val="00353F27"/>
    <w:rsid w:val="003540B1"/>
    <w:rsid w:val="003542EE"/>
    <w:rsid w:val="0035656E"/>
    <w:rsid w:val="00357DBF"/>
    <w:rsid w:val="00360119"/>
    <w:rsid w:val="00360FA1"/>
    <w:rsid w:val="00361496"/>
    <w:rsid w:val="003625E6"/>
    <w:rsid w:val="0036268B"/>
    <w:rsid w:val="003631F8"/>
    <w:rsid w:val="0036364C"/>
    <w:rsid w:val="003639EB"/>
    <w:rsid w:val="00364C82"/>
    <w:rsid w:val="00364E77"/>
    <w:rsid w:val="0036684B"/>
    <w:rsid w:val="00366FB1"/>
    <w:rsid w:val="003672DC"/>
    <w:rsid w:val="00370569"/>
    <w:rsid w:val="00372005"/>
    <w:rsid w:val="00373507"/>
    <w:rsid w:val="003740D4"/>
    <w:rsid w:val="0037434D"/>
    <w:rsid w:val="00374802"/>
    <w:rsid w:val="00374A6A"/>
    <w:rsid w:val="0037558B"/>
    <w:rsid w:val="0037604E"/>
    <w:rsid w:val="00376AE5"/>
    <w:rsid w:val="0038021F"/>
    <w:rsid w:val="003825BF"/>
    <w:rsid w:val="00382F67"/>
    <w:rsid w:val="003836B0"/>
    <w:rsid w:val="00384521"/>
    <w:rsid w:val="003853B1"/>
    <w:rsid w:val="00385BA9"/>
    <w:rsid w:val="003867EA"/>
    <w:rsid w:val="003920D3"/>
    <w:rsid w:val="00393631"/>
    <w:rsid w:val="003A0827"/>
    <w:rsid w:val="003A0A60"/>
    <w:rsid w:val="003A224E"/>
    <w:rsid w:val="003A246D"/>
    <w:rsid w:val="003A25C9"/>
    <w:rsid w:val="003A27AB"/>
    <w:rsid w:val="003A2E2A"/>
    <w:rsid w:val="003A338C"/>
    <w:rsid w:val="003A39A4"/>
    <w:rsid w:val="003A4AB2"/>
    <w:rsid w:val="003A5250"/>
    <w:rsid w:val="003A59D7"/>
    <w:rsid w:val="003A7A38"/>
    <w:rsid w:val="003A7C08"/>
    <w:rsid w:val="003B1956"/>
    <w:rsid w:val="003B1B0D"/>
    <w:rsid w:val="003B2F05"/>
    <w:rsid w:val="003B4F55"/>
    <w:rsid w:val="003B5690"/>
    <w:rsid w:val="003B6150"/>
    <w:rsid w:val="003B6690"/>
    <w:rsid w:val="003B673C"/>
    <w:rsid w:val="003C06D8"/>
    <w:rsid w:val="003C08A2"/>
    <w:rsid w:val="003C111C"/>
    <w:rsid w:val="003C1268"/>
    <w:rsid w:val="003C2132"/>
    <w:rsid w:val="003C2AB2"/>
    <w:rsid w:val="003C2F34"/>
    <w:rsid w:val="003C3A47"/>
    <w:rsid w:val="003C471C"/>
    <w:rsid w:val="003C4DC1"/>
    <w:rsid w:val="003C50E2"/>
    <w:rsid w:val="003C65A8"/>
    <w:rsid w:val="003C65D5"/>
    <w:rsid w:val="003D02DB"/>
    <w:rsid w:val="003D1DF3"/>
    <w:rsid w:val="003D1F1E"/>
    <w:rsid w:val="003D297F"/>
    <w:rsid w:val="003D29EB"/>
    <w:rsid w:val="003D3908"/>
    <w:rsid w:val="003D4A24"/>
    <w:rsid w:val="003D6A0B"/>
    <w:rsid w:val="003D71E9"/>
    <w:rsid w:val="003E017D"/>
    <w:rsid w:val="003E02C2"/>
    <w:rsid w:val="003E0DAD"/>
    <w:rsid w:val="003E1504"/>
    <w:rsid w:val="003E18A4"/>
    <w:rsid w:val="003E37C6"/>
    <w:rsid w:val="003E3DDD"/>
    <w:rsid w:val="003E4433"/>
    <w:rsid w:val="003E489C"/>
    <w:rsid w:val="003E58D2"/>
    <w:rsid w:val="003E648A"/>
    <w:rsid w:val="003E6968"/>
    <w:rsid w:val="003E6C79"/>
    <w:rsid w:val="003F087F"/>
    <w:rsid w:val="003F1719"/>
    <w:rsid w:val="003F28A9"/>
    <w:rsid w:val="003F3331"/>
    <w:rsid w:val="003F3381"/>
    <w:rsid w:val="003F4001"/>
    <w:rsid w:val="003F48DA"/>
    <w:rsid w:val="003F5470"/>
    <w:rsid w:val="003F6455"/>
    <w:rsid w:val="003F6ABD"/>
    <w:rsid w:val="003F6DE2"/>
    <w:rsid w:val="00400005"/>
    <w:rsid w:val="00400966"/>
    <w:rsid w:val="00400E09"/>
    <w:rsid w:val="00401B2C"/>
    <w:rsid w:val="00402317"/>
    <w:rsid w:val="00402393"/>
    <w:rsid w:val="00402704"/>
    <w:rsid w:val="0040441C"/>
    <w:rsid w:val="00404AA4"/>
    <w:rsid w:val="0040527E"/>
    <w:rsid w:val="00405356"/>
    <w:rsid w:val="00405A45"/>
    <w:rsid w:val="00406255"/>
    <w:rsid w:val="00406636"/>
    <w:rsid w:val="004077C6"/>
    <w:rsid w:val="004077DC"/>
    <w:rsid w:val="00410C4A"/>
    <w:rsid w:val="00410ED0"/>
    <w:rsid w:val="0041505A"/>
    <w:rsid w:val="00415150"/>
    <w:rsid w:val="004164F5"/>
    <w:rsid w:val="004168E6"/>
    <w:rsid w:val="00416CC5"/>
    <w:rsid w:val="004225AB"/>
    <w:rsid w:val="00422BA2"/>
    <w:rsid w:val="0042352F"/>
    <w:rsid w:val="00423DE3"/>
    <w:rsid w:val="00424297"/>
    <w:rsid w:val="004274D8"/>
    <w:rsid w:val="00431CE1"/>
    <w:rsid w:val="00433849"/>
    <w:rsid w:val="00433E06"/>
    <w:rsid w:val="00436E2A"/>
    <w:rsid w:val="00437A55"/>
    <w:rsid w:val="00440EA7"/>
    <w:rsid w:val="00441635"/>
    <w:rsid w:val="0044270F"/>
    <w:rsid w:val="004428FB"/>
    <w:rsid w:val="00446098"/>
    <w:rsid w:val="00446589"/>
    <w:rsid w:val="004472D1"/>
    <w:rsid w:val="0044757E"/>
    <w:rsid w:val="00450852"/>
    <w:rsid w:val="00451771"/>
    <w:rsid w:val="004517AF"/>
    <w:rsid w:val="00452228"/>
    <w:rsid w:val="00452414"/>
    <w:rsid w:val="00452B0D"/>
    <w:rsid w:val="004533FC"/>
    <w:rsid w:val="004536A8"/>
    <w:rsid w:val="00454B19"/>
    <w:rsid w:val="00457500"/>
    <w:rsid w:val="00457696"/>
    <w:rsid w:val="0046027A"/>
    <w:rsid w:val="00460C45"/>
    <w:rsid w:val="004612A9"/>
    <w:rsid w:val="00461C75"/>
    <w:rsid w:val="00462C92"/>
    <w:rsid w:val="004635B3"/>
    <w:rsid w:val="00463707"/>
    <w:rsid w:val="00463B42"/>
    <w:rsid w:val="00464642"/>
    <w:rsid w:val="00464F72"/>
    <w:rsid w:val="0046669F"/>
    <w:rsid w:val="00467987"/>
    <w:rsid w:val="00467BE7"/>
    <w:rsid w:val="0047035A"/>
    <w:rsid w:val="004711C9"/>
    <w:rsid w:val="004712B8"/>
    <w:rsid w:val="004734BE"/>
    <w:rsid w:val="0047500B"/>
    <w:rsid w:val="004762D0"/>
    <w:rsid w:val="00476583"/>
    <w:rsid w:val="0047798F"/>
    <w:rsid w:val="00480197"/>
    <w:rsid w:val="00482B2A"/>
    <w:rsid w:val="00483EEC"/>
    <w:rsid w:val="00485881"/>
    <w:rsid w:val="00485A4C"/>
    <w:rsid w:val="00486E42"/>
    <w:rsid w:val="00486F70"/>
    <w:rsid w:val="00487916"/>
    <w:rsid w:val="00487A6F"/>
    <w:rsid w:val="004916F9"/>
    <w:rsid w:val="004917D1"/>
    <w:rsid w:val="0049234F"/>
    <w:rsid w:val="00492C87"/>
    <w:rsid w:val="00493F11"/>
    <w:rsid w:val="00494466"/>
    <w:rsid w:val="004946F9"/>
    <w:rsid w:val="00495A44"/>
    <w:rsid w:val="004977C6"/>
    <w:rsid w:val="004A01F3"/>
    <w:rsid w:val="004A1662"/>
    <w:rsid w:val="004A1B3D"/>
    <w:rsid w:val="004A3D5D"/>
    <w:rsid w:val="004A42D3"/>
    <w:rsid w:val="004A45F6"/>
    <w:rsid w:val="004A4C37"/>
    <w:rsid w:val="004A6F43"/>
    <w:rsid w:val="004A7C16"/>
    <w:rsid w:val="004A7C69"/>
    <w:rsid w:val="004B01DA"/>
    <w:rsid w:val="004B04EB"/>
    <w:rsid w:val="004B06EE"/>
    <w:rsid w:val="004B1E2F"/>
    <w:rsid w:val="004B21B2"/>
    <w:rsid w:val="004B3010"/>
    <w:rsid w:val="004B3CD1"/>
    <w:rsid w:val="004B3D58"/>
    <w:rsid w:val="004B407E"/>
    <w:rsid w:val="004B4A0F"/>
    <w:rsid w:val="004B594E"/>
    <w:rsid w:val="004B783B"/>
    <w:rsid w:val="004C29FD"/>
    <w:rsid w:val="004C2B5A"/>
    <w:rsid w:val="004C3BDE"/>
    <w:rsid w:val="004C636B"/>
    <w:rsid w:val="004C6442"/>
    <w:rsid w:val="004C7948"/>
    <w:rsid w:val="004C7D5A"/>
    <w:rsid w:val="004D0EF5"/>
    <w:rsid w:val="004D1831"/>
    <w:rsid w:val="004D4157"/>
    <w:rsid w:val="004D44C1"/>
    <w:rsid w:val="004D4546"/>
    <w:rsid w:val="004D4C14"/>
    <w:rsid w:val="004D6145"/>
    <w:rsid w:val="004D677C"/>
    <w:rsid w:val="004D6894"/>
    <w:rsid w:val="004E1486"/>
    <w:rsid w:val="004E168F"/>
    <w:rsid w:val="004E22DE"/>
    <w:rsid w:val="004E3EE4"/>
    <w:rsid w:val="004E4D9B"/>
    <w:rsid w:val="004E4FB4"/>
    <w:rsid w:val="004E5185"/>
    <w:rsid w:val="004E5193"/>
    <w:rsid w:val="004E553C"/>
    <w:rsid w:val="004E6098"/>
    <w:rsid w:val="004E6417"/>
    <w:rsid w:val="004E7897"/>
    <w:rsid w:val="004F0731"/>
    <w:rsid w:val="004F0B8C"/>
    <w:rsid w:val="004F0DBE"/>
    <w:rsid w:val="004F0DF9"/>
    <w:rsid w:val="004F1FFD"/>
    <w:rsid w:val="004F27BD"/>
    <w:rsid w:val="004F31C4"/>
    <w:rsid w:val="004F3803"/>
    <w:rsid w:val="004F39C0"/>
    <w:rsid w:val="004F58C3"/>
    <w:rsid w:val="004F7B85"/>
    <w:rsid w:val="00500F57"/>
    <w:rsid w:val="005018B6"/>
    <w:rsid w:val="00502552"/>
    <w:rsid w:val="005036AD"/>
    <w:rsid w:val="00503EB5"/>
    <w:rsid w:val="00504D49"/>
    <w:rsid w:val="00505ED5"/>
    <w:rsid w:val="00506287"/>
    <w:rsid w:val="005065A2"/>
    <w:rsid w:val="005068AE"/>
    <w:rsid w:val="005069A3"/>
    <w:rsid w:val="00506D38"/>
    <w:rsid w:val="00507188"/>
    <w:rsid w:val="005075B6"/>
    <w:rsid w:val="00510087"/>
    <w:rsid w:val="005107ED"/>
    <w:rsid w:val="0051090C"/>
    <w:rsid w:val="005126FB"/>
    <w:rsid w:val="005128E8"/>
    <w:rsid w:val="00517160"/>
    <w:rsid w:val="0051735C"/>
    <w:rsid w:val="00517FF1"/>
    <w:rsid w:val="0052099F"/>
    <w:rsid w:val="00521432"/>
    <w:rsid w:val="0052335B"/>
    <w:rsid w:val="00524D6E"/>
    <w:rsid w:val="005251C7"/>
    <w:rsid w:val="00525B73"/>
    <w:rsid w:val="00526301"/>
    <w:rsid w:val="0052638A"/>
    <w:rsid w:val="00526BC9"/>
    <w:rsid w:val="005274A4"/>
    <w:rsid w:val="0052771D"/>
    <w:rsid w:val="0053013E"/>
    <w:rsid w:val="00530CD8"/>
    <w:rsid w:val="00531522"/>
    <w:rsid w:val="005326BD"/>
    <w:rsid w:val="0053324B"/>
    <w:rsid w:val="005346BF"/>
    <w:rsid w:val="00534AFC"/>
    <w:rsid w:val="00534FFE"/>
    <w:rsid w:val="00537AAA"/>
    <w:rsid w:val="005417A6"/>
    <w:rsid w:val="00542677"/>
    <w:rsid w:val="00543804"/>
    <w:rsid w:val="005449CE"/>
    <w:rsid w:val="005465EB"/>
    <w:rsid w:val="00547C3B"/>
    <w:rsid w:val="00550058"/>
    <w:rsid w:val="00550889"/>
    <w:rsid w:val="00550AEA"/>
    <w:rsid w:val="00550CC1"/>
    <w:rsid w:val="00550D15"/>
    <w:rsid w:val="005510F7"/>
    <w:rsid w:val="005521EF"/>
    <w:rsid w:val="00553318"/>
    <w:rsid w:val="00554622"/>
    <w:rsid w:val="00554B45"/>
    <w:rsid w:val="00556936"/>
    <w:rsid w:val="00557FAD"/>
    <w:rsid w:val="00560127"/>
    <w:rsid w:val="0056288F"/>
    <w:rsid w:val="00562F3F"/>
    <w:rsid w:val="005646CD"/>
    <w:rsid w:val="00565787"/>
    <w:rsid w:val="00565878"/>
    <w:rsid w:val="00565B64"/>
    <w:rsid w:val="005662C9"/>
    <w:rsid w:val="00567030"/>
    <w:rsid w:val="00571C56"/>
    <w:rsid w:val="00574524"/>
    <w:rsid w:val="00574566"/>
    <w:rsid w:val="00575B23"/>
    <w:rsid w:val="005764A9"/>
    <w:rsid w:val="00576C0F"/>
    <w:rsid w:val="00576C8B"/>
    <w:rsid w:val="00577A27"/>
    <w:rsid w:val="00577BD7"/>
    <w:rsid w:val="00582E14"/>
    <w:rsid w:val="00584CB5"/>
    <w:rsid w:val="00585370"/>
    <w:rsid w:val="0058563A"/>
    <w:rsid w:val="00586016"/>
    <w:rsid w:val="0058635C"/>
    <w:rsid w:val="005866D5"/>
    <w:rsid w:val="005958EE"/>
    <w:rsid w:val="0059673E"/>
    <w:rsid w:val="00597414"/>
    <w:rsid w:val="005975AF"/>
    <w:rsid w:val="005978A9"/>
    <w:rsid w:val="005A0032"/>
    <w:rsid w:val="005A0995"/>
    <w:rsid w:val="005A439B"/>
    <w:rsid w:val="005A55C8"/>
    <w:rsid w:val="005A5F09"/>
    <w:rsid w:val="005A6A05"/>
    <w:rsid w:val="005A6C45"/>
    <w:rsid w:val="005A747D"/>
    <w:rsid w:val="005A7DB5"/>
    <w:rsid w:val="005B07DB"/>
    <w:rsid w:val="005B12E3"/>
    <w:rsid w:val="005B2F36"/>
    <w:rsid w:val="005B3F88"/>
    <w:rsid w:val="005B4598"/>
    <w:rsid w:val="005B66A3"/>
    <w:rsid w:val="005B6D5F"/>
    <w:rsid w:val="005B71A7"/>
    <w:rsid w:val="005C0DC1"/>
    <w:rsid w:val="005C1B41"/>
    <w:rsid w:val="005C25D7"/>
    <w:rsid w:val="005C2805"/>
    <w:rsid w:val="005C3F63"/>
    <w:rsid w:val="005C4F32"/>
    <w:rsid w:val="005C57F9"/>
    <w:rsid w:val="005C5ECB"/>
    <w:rsid w:val="005D0033"/>
    <w:rsid w:val="005D0C54"/>
    <w:rsid w:val="005D0E97"/>
    <w:rsid w:val="005D3B66"/>
    <w:rsid w:val="005D3C77"/>
    <w:rsid w:val="005D419D"/>
    <w:rsid w:val="005D4BB7"/>
    <w:rsid w:val="005D5E9C"/>
    <w:rsid w:val="005D64C9"/>
    <w:rsid w:val="005D7C28"/>
    <w:rsid w:val="005E1601"/>
    <w:rsid w:val="005E1763"/>
    <w:rsid w:val="005E196A"/>
    <w:rsid w:val="005E2680"/>
    <w:rsid w:val="005E2927"/>
    <w:rsid w:val="005E31FB"/>
    <w:rsid w:val="005E36EC"/>
    <w:rsid w:val="005E38D6"/>
    <w:rsid w:val="005E5269"/>
    <w:rsid w:val="005E5595"/>
    <w:rsid w:val="005E5E08"/>
    <w:rsid w:val="005E6EB3"/>
    <w:rsid w:val="005E7313"/>
    <w:rsid w:val="005E7B88"/>
    <w:rsid w:val="005E7EDE"/>
    <w:rsid w:val="005F1770"/>
    <w:rsid w:val="005F2448"/>
    <w:rsid w:val="005F3690"/>
    <w:rsid w:val="005F3CFB"/>
    <w:rsid w:val="005F5B37"/>
    <w:rsid w:val="005F7521"/>
    <w:rsid w:val="005F75CE"/>
    <w:rsid w:val="005F7A92"/>
    <w:rsid w:val="005F7D6A"/>
    <w:rsid w:val="00600FDE"/>
    <w:rsid w:val="00601127"/>
    <w:rsid w:val="0060137E"/>
    <w:rsid w:val="00601B10"/>
    <w:rsid w:val="00601C22"/>
    <w:rsid w:val="00601CB5"/>
    <w:rsid w:val="00603213"/>
    <w:rsid w:val="00603C0F"/>
    <w:rsid w:val="00606F21"/>
    <w:rsid w:val="00614A7F"/>
    <w:rsid w:val="00614D8F"/>
    <w:rsid w:val="00617138"/>
    <w:rsid w:val="006178F2"/>
    <w:rsid w:val="00617B1C"/>
    <w:rsid w:val="00617D8A"/>
    <w:rsid w:val="0062131E"/>
    <w:rsid w:val="00623825"/>
    <w:rsid w:val="006256F3"/>
    <w:rsid w:val="00625AEC"/>
    <w:rsid w:val="00626C8E"/>
    <w:rsid w:val="00627483"/>
    <w:rsid w:val="006276A3"/>
    <w:rsid w:val="00627D2D"/>
    <w:rsid w:val="0063118C"/>
    <w:rsid w:val="00631257"/>
    <w:rsid w:val="00633408"/>
    <w:rsid w:val="0063472E"/>
    <w:rsid w:val="00634D8C"/>
    <w:rsid w:val="00635CA6"/>
    <w:rsid w:val="00635CCD"/>
    <w:rsid w:val="00636071"/>
    <w:rsid w:val="006360BC"/>
    <w:rsid w:val="0063665B"/>
    <w:rsid w:val="00640A8A"/>
    <w:rsid w:val="00641AB4"/>
    <w:rsid w:val="00641BC2"/>
    <w:rsid w:val="00642062"/>
    <w:rsid w:val="00643B4F"/>
    <w:rsid w:val="00644454"/>
    <w:rsid w:val="00644E8A"/>
    <w:rsid w:val="00646054"/>
    <w:rsid w:val="00646895"/>
    <w:rsid w:val="006468C5"/>
    <w:rsid w:val="006471FA"/>
    <w:rsid w:val="00647909"/>
    <w:rsid w:val="00650419"/>
    <w:rsid w:val="00652B55"/>
    <w:rsid w:val="00652B69"/>
    <w:rsid w:val="00653423"/>
    <w:rsid w:val="00654AAF"/>
    <w:rsid w:val="006553C1"/>
    <w:rsid w:val="006574BB"/>
    <w:rsid w:val="006575C9"/>
    <w:rsid w:val="0065783D"/>
    <w:rsid w:val="00657A4C"/>
    <w:rsid w:val="0066045C"/>
    <w:rsid w:val="00660DD8"/>
    <w:rsid w:val="00660EF4"/>
    <w:rsid w:val="00661DB5"/>
    <w:rsid w:val="006624E9"/>
    <w:rsid w:val="00662B1E"/>
    <w:rsid w:val="00662CB7"/>
    <w:rsid w:val="006677E4"/>
    <w:rsid w:val="00667F36"/>
    <w:rsid w:val="00670468"/>
    <w:rsid w:val="006719F4"/>
    <w:rsid w:val="0067203C"/>
    <w:rsid w:val="00674E70"/>
    <w:rsid w:val="00674ECB"/>
    <w:rsid w:val="0067534F"/>
    <w:rsid w:val="006753DA"/>
    <w:rsid w:val="00675DD1"/>
    <w:rsid w:val="00675E83"/>
    <w:rsid w:val="00677986"/>
    <w:rsid w:val="00680547"/>
    <w:rsid w:val="00680D3B"/>
    <w:rsid w:val="00682809"/>
    <w:rsid w:val="00683FBE"/>
    <w:rsid w:val="00686309"/>
    <w:rsid w:val="00686436"/>
    <w:rsid w:val="00687B18"/>
    <w:rsid w:val="006904B9"/>
    <w:rsid w:val="00690AFB"/>
    <w:rsid w:val="006911CE"/>
    <w:rsid w:val="006914F1"/>
    <w:rsid w:val="00691D4C"/>
    <w:rsid w:val="00693A7B"/>
    <w:rsid w:val="00693D21"/>
    <w:rsid w:val="00694ADA"/>
    <w:rsid w:val="00694B7B"/>
    <w:rsid w:val="0069500F"/>
    <w:rsid w:val="00697A89"/>
    <w:rsid w:val="006A11EF"/>
    <w:rsid w:val="006A142B"/>
    <w:rsid w:val="006A1CB9"/>
    <w:rsid w:val="006A220C"/>
    <w:rsid w:val="006A2E0E"/>
    <w:rsid w:val="006A30CD"/>
    <w:rsid w:val="006A3593"/>
    <w:rsid w:val="006A37E4"/>
    <w:rsid w:val="006A3F36"/>
    <w:rsid w:val="006A46F2"/>
    <w:rsid w:val="006A57EE"/>
    <w:rsid w:val="006B08D4"/>
    <w:rsid w:val="006B209C"/>
    <w:rsid w:val="006B29D4"/>
    <w:rsid w:val="006B43FA"/>
    <w:rsid w:val="006B68DC"/>
    <w:rsid w:val="006B702F"/>
    <w:rsid w:val="006B7630"/>
    <w:rsid w:val="006C0E38"/>
    <w:rsid w:val="006C0F5F"/>
    <w:rsid w:val="006C1FD0"/>
    <w:rsid w:val="006C2221"/>
    <w:rsid w:val="006C3B3D"/>
    <w:rsid w:val="006C5029"/>
    <w:rsid w:val="006C5670"/>
    <w:rsid w:val="006C56A5"/>
    <w:rsid w:val="006C60A3"/>
    <w:rsid w:val="006C6A2A"/>
    <w:rsid w:val="006C7295"/>
    <w:rsid w:val="006D067F"/>
    <w:rsid w:val="006D0A1D"/>
    <w:rsid w:val="006D11B8"/>
    <w:rsid w:val="006D13AA"/>
    <w:rsid w:val="006D3BE6"/>
    <w:rsid w:val="006D49EB"/>
    <w:rsid w:val="006D4D10"/>
    <w:rsid w:val="006D5050"/>
    <w:rsid w:val="006D6332"/>
    <w:rsid w:val="006D704C"/>
    <w:rsid w:val="006D7324"/>
    <w:rsid w:val="006D7676"/>
    <w:rsid w:val="006E271D"/>
    <w:rsid w:val="006E2BA9"/>
    <w:rsid w:val="006E32FB"/>
    <w:rsid w:val="006E4C44"/>
    <w:rsid w:val="006E50DA"/>
    <w:rsid w:val="006E6BE0"/>
    <w:rsid w:val="006F1321"/>
    <w:rsid w:val="006F1501"/>
    <w:rsid w:val="006F380D"/>
    <w:rsid w:val="006F3B52"/>
    <w:rsid w:val="006F6AD1"/>
    <w:rsid w:val="006F78F8"/>
    <w:rsid w:val="00700471"/>
    <w:rsid w:val="007007B5"/>
    <w:rsid w:val="00701024"/>
    <w:rsid w:val="00702115"/>
    <w:rsid w:val="00702869"/>
    <w:rsid w:val="00702D66"/>
    <w:rsid w:val="00702E45"/>
    <w:rsid w:val="00703E77"/>
    <w:rsid w:val="00703FF3"/>
    <w:rsid w:val="00704A96"/>
    <w:rsid w:val="00704F7A"/>
    <w:rsid w:val="007057A0"/>
    <w:rsid w:val="00705889"/>
    <w:rsid w:val="00705972"/>
    <w:rsid w:val="00705C9C"/>
    <w:rsid w:val="00706AC8"/>
    <w:rsid w:val="0070745E"/>
    <w:rsid w:val="0070794B"/>
    <w:rsid w:val="0071083B"/>
    <w:rsid w:val="0071263E"/>
    <w:rsid w:val="00713B6C"/>
    <w:rsid w:val="007140BB"/>
    <w:rsid w:val="00714153"/>
    <w:rsid w:val="007145C1"/>
    <w:rsid w:val="00715597"/>
    <w:rsid w:val="007158F0"/>
    <w:rsid w:val="00715E98"/>
    <w:rsid w:val="00721CFB"/>
    <w:rsid w:val="00722E97"/>
    <w:rsid w:val="00722F25"/>
    <w:rsid w:val="00723629"/>
    <w:rsid w:val="00723F88"/>
    <w:rsid w:val="00724363"/>
    <w:rsid w:val="007260E8"/>
    <w:rsid w:val="00726DFB"/>
    <w:rsid w:val="00727B47"/>
    <w:rsid w:val="0073050E"/>
    <w:rsid w:val="0073108C"/>
    <w:rsid w:val="0073109B"/>
    <w:rsid w:val="00732274"/>
    <w:rsid w:val="00733035"/>
    <w:rsid w:val="00733415"/>
    <w:rsid w:val="00736A07"/>
    <w:rsid w:val="00737517"/>
    <w:rsid w:val="00741CB8"/>
    <w:rsid w:val="007438DE"/>
    <w:rsid w:val="007460AA"/>
    <w:rsid w:val="00747246"/>
    <w:rsid w:val="00747892"/>
    <w:rsid w:val="00750C9E"/>
    <w:rsid w:val="00750D0A"/>
    <w:rsid w:val="00750EA8"/>
    <w:rsid w:val="007512CD"/>
    <w:rsid w:val="007513C6"/>
    <w:rsid w:val="00751B15"/>
    <w:rsid w:val="00751B74"/>
    <w:rsid w:val="007535E4"/>
    <w:rsid w:val="00753AE2"/>
    <w:rsid w:val="00754125"/>
    <w:rsid w:val="007541B7"/>
    <w:rsid w:val="00754A82"/>
    <w:rsid w:val="00756287"/>
    <w:rsid w:val="00757569"/>
    <w:rsid w:val="00760424"/>
    <w:rsid w:val="0076197D"/>
    <w:rsid w:val="00761F00"/>
    <w:rsid w:val="00762959"/>
    <w:rsid w:val="00764FE3"/>
    <w:rsid w:val="00765F5E"/>
    <w:rsid w:val="00767ACD"/>
    <w:rsid w:val="00770683"/>
    <w:rsid w:val="0077112C"/>
    <w:rsid w:val="00771E9B"/>
    <w:rsid w:val="007724BF"/>
    <w:rsid w:val="00773872"/>
    <w:rsid w:val="0077433A"/>
    <w:rsid w:val="007808FE"/>
    <w:rsid w:val="007811E0"/>
    <w:rsid w:val="007840A1"/>
    <w:rsid w:val="00784468"/>
    <w:rsid w:val="00784A48"/>
    <w:rsid w:val="007852C2"/>
    <w:rsid w:val="00787F4A"/>
    <w:rsid w:val="007903E7"/>
    <w:rsid w:val="00791968"/>
    <w:rsid w:val="00792AD5"/>
    <w:rsid w:val="0079319D"/>
    <w:rsid w:val="0079323A"/>
    <w:rsid w:val="007939CE"/>
    <w:rsid w:val="00793E2C"/>
    <w:rsid w:val="00794626"/>
    <w:rsid w:val="007953A7"/>
    <w:rsid w:val="00796151"/>
    <w:rsid w:val="00797A3A"/>
    <w:rsid w:val="00797BFD"/>
    <w:rsid w:val="007A19DF"/>
    <w:rsid w:val="007A4B9B"/>
    <w:rsid w:val="007A528B"/>
    <w:rsid w:val="007A5E65"/>
    <w:rsid w:val="007A75A7"/>
    <w:rsid w:val="007B07F1"/>
    <w:rsid w:val="007B1C82"/>
    <w:rsid w:val="007B1FAD"/>
    <w:rsid w:val="007B2343"/>
    <w:rsid w:val="007B2DEE"/>
    <w:rsid w:val="007B2E99"/>
    <w:rsid w:val="007B3B07"/>
    <w:rsid w:val="007B3DF8"/>
    <w:rsid w:val="007B6177"/>
    <w:rsid w:val="007B68A1"/>
    <w:rsid w:val="007B7848"/>
    <w:rsid w:val="007C1B2A"/>
    <w:rsid w:val="007C6082"/>
    <w:rsid w:val="007C649C"/>
    <w:rsid w:val="007C67E4"/>
    <w:rsid w:val="007C73C2"/>
    <w:rsid w:val="007D097E"/>
    <w:rsid w:val="007D2781"/>
    <w:rsid w:val="007D5C8E"/>
    <w:rsid w:val="007D6CE7"/>
    <w:rsid w:val="007D6E6E"/>
    <w:rsid w:val="007D6E9A"/>
    <w:rsid w:val="007E269D"/>
    <w:rsid w:val="007E2B5C"/>
    <w:rsid w:val="007E2FBD"/>
    <w:rsid w:val="007E3A74"/>
    <w:rsid w:val="007E56D8"/>
    <w:rsid w:val="007E5AD6"/>
    <w:rsid w:val="007E6042"/>
    <w:rsid w:val="007E71FC"/>
    <w:rsid w:val="007F08BC"/>
    <w:rsid w:val="007F0CBB"/>
    <w:rsid w:val="007F11F6"/>
    <w:rsid w:val="007F1459"/>
    <w:rsid w:val="007F2813"/>
    <w:rsid w:val="007F3506"/>
    <w:rsid w:val="007F4248"/>
    <w:rsid w:val="007F56EB"/>
    <w:rsid w:val="007F5863"/>
    <w:rsid w:val="007F6961"/>
    <w:rsid w:val="007F7C78"/>
    <w:rsid w:val="007F7D79"/>
    <w:rsid w:val="00800D09"/>
    <w:rsid w:val="00801964"/>
    <w:rsid w:val="008022F0"/>
    <w:rsid w:val="0080272B"/>
    <w:rsid w:val="00803FD3"/>
    <w:rsid w:val="00804CCD"/>
    <w:rsid w:val="00805310"/>
    <w:rsid w:val="008062F6"/>
    <w:rsid w:val="008072F1"/>
    <w:rsid w:val="00807825"/>
    <w:rsid w:val="00810206"/>
    <w:rsid w:val="00811269"/>
    <w:rsid w:val="00813649"/>
    <w:rsid w:val="008138C4"/>
    <w:rsid w:val="008153D9"/>
    <w:rsid w:val="0081571D"/>
    <w:rsid w:val="00817CB1"/>
    <w:rsid w:val="008204CB"/>
    <w:rsid w:val="00820F40"/>
    <w:rsid w:val="008249FD"/>
    <w:rsid w:val="00826AF2"/>
    <w:rsid w:val="00826CAA"/>
    <w:rsid w:val="00827118"/>
    <w:rsid w:val="008300D9"/>
    <w:rsid w:val="008310F6"/>
    <w:rsid w:val="00831721"/>
    <w:rsid w:val="00831897"/>
    <w:rsid w:val="008319DB"/>
    <w:rsid w:val="00832488"/>
    <w:rsid w:val="008327E3"/>
    <w:rsid w:val="00836052"/>
    <w:rsid w:val="0083711F"/>
    <w:rsid w:val="0083777F"/>
    <w:rsid w:val="008379E6"/>
    <w:rsid w:val="00840051"/>
    <w:rsid w:val="008402D8"/>
    <w:rsid w:val="00840E17"/>
    <w:rsid w:val="00841CDB"/>
    <w:rsid w:val="00842D31"/>
    <w:rsid w:val="00843C3C"/>
    <w:rsid w:val="008441C8"/>
    <w:rsid w:val="008468B8"/>
    <w:rsid w:val="00846F7E"/>
    <w:rsid w:val="00847592"/>
    <w:rsid w:val="00847C92"/>
    <w:rsid w:val="00847EFD"/>
    <w:rsid w:val="00847F20"/>
    <w:rsid w:val="008529C7"/>
    <w:rsid w:val="0085334C"/>
    <w:rsid w:val="00854530"/>
    <w:rsid w:val="008545F9"/>
    <w:rsid w:val="008560EB"/>
    <w:rsid w:val="00856E0D"/>
    <w:rsid w:val="00856E58"/>
    <w:rsid w:val="008577AB"/>
    <w:rsid w:val="00857A60"/>
    <w:rsid w:val="00860131"/>
    <w:rsid w:val="00863618"/>
    <w:rsid w:val="00863E52"/>
    <w:rsid w:val="00864881"/>
    <w:rsid w:val="0086551F"/>
    <w:rsid w:val="00865EC1"/>
    <w:rsid w:val="00866D6D"/>
    <w:rsid w:val="00872A47"/>
    <w:rsid w:val="008735E5"/>
    <w:rsid w:val="00873AFA"/>
    <w:rsid w:val="00874716"/>
    <w:rsid w:val="0087615F"/>
    <w:rsid w:val="008765AE"/>
    <w:rsid w:val="00880FED"/>
    <w:rsid w:val="00881C7C"/>
    <w:rsid w:val="00882F56"/>
    <w:rsid w:val="0088391B"/>
    <w:rsid w:val="00885673"/>
    <w:rsid w:val="00885B49"/>
    <w:rsid w:val="0088641C"/>
    <w:rsid w:val="00890983"/>
    <w:rsid w:val="00890FEF"/>
    <w:rsid w:val="00891CAF"/>
    <w:rsid w:val="00893978"/>
    <w:rsid w:val="00894089"/>
    <w:rsid w:val="00894481"/>
    <w:rsid w:val="008A03C7"/>
    <w:rsid w:val="008A0845"/>
    <w:rsid w:val="008A3A68"/>
    <w:rsid w:val="008A3E57"/>
    <w:rsid w:val="008A46EC"/>
    <w:rsid w:val="008A6141"/>
    <w:rsid w:val="008A6FF1"/>
    <w:rsid w:val="008A7FED"/>
    <w:rsid w:val="008B0541"/>
    <w:rsid w:val="008B091B"/>
    <w:rsid w:val="008B13E6"/>
    <w:rsid w:val="008B1A27"/>
    <w:rsid w:val="008B39DD"/>
    <w:rsid w:val="008B3B09"/>
    <w:rsid w:val="008B475B"/>
    <w:rsid w:val="008B657B"/>
    <w:rsid w:val="008B69A2"/>
    <w:rsid w:val="008B717D"/>
    <w:rsid w:val="008B7410"/>
    <w:rsid w:val="008C4F2E"/>
    <w:rsid w:val="008C6CE4"/>
    <w:rsid w:val="008C7CF2"/>
    <w:rsid w:val="008D02FF"/>
    <w:rsid w:val="008D3C54"/>
    <w:rsid w:val="008D53F7"/>
    <w:rsid w:val="008D5CED"/>
    <w:rsid w:val="008D5E8F"/>
    <w:rsid w:val="008D61A7"/>
    <w:rsid w:val="008E0C94"/>
    <w:rsid w:val="008E1BE3"/>
    <w:rsid w:val="008E5AFB"/>
    <w:rsid w:val="008E75BC"/>
    <w:rsid w:val="008F0740"/>
    <w:rsid w:val="008F16C3"/>
    <w:rsid w:val="008F197D"/>
    <w:rsid w:val="008F5E99"/>
    <w:rsid w:val="008F7FBC"/>
    <w:rsid w:val="0090028A"/>
    <w:rsid w:val="00900AB9"/>
    <w:rsid w:val="009014F1"/>
    <w:rsid w:val="00901CD0"/>
    <w:rsid w:val="0090233B"/>
    <w:rsid w:val="0090325E"/>
    <w:rsid w:val="00903E5E"/>
    <w:rsid w:val="00904A37"/>
    <w:rsid w:val="00906940"/>
    <w:rsid w:val="009072F9"/>
    <w:rsid w:val="00907539"/>
    <w:rsid w:val="00907BC0"/>
    <w:rsid w:val="00910D5A"/>
    <w:rsid w:val="009116F8"/>
    <w:rsid w:val="00912045"/>
    <w:rsid w:val="00913137"/>
    <w:rsid w:val="00915FAE"/>
    <w:rsid w:val="009169D9"/>
    <w:rsid w:val="00917B90"/>
    <w:rsid w:val="00917D06"/>
    <w:rsid w:val="00917FDC"/>
    <w:rsid w:val="00921D5A"/>
    <w:rsid w:val="009223D4"/>
    <w:rsid w:val="00922861"/>
    <w:rsid w:val="00922980"/>
    <w:rsid w:val="009235D9"/>
    <w:rsid w:val="009246E4"/>
    <w:rsid w:val="00926485"/>
    <w:rsid w:val="009264F5"/>
    <w:rsid w:val="00927335"/>
    <w:rsid w:val="00927405"/>
    <w:rsid w:val="0092791F"/>
    <w:rsid w:val="009305DF"/>
    <w:rsid w:val="00931536"/>
    <w:rsid w:val="00931D26"/>
    <w:rsid w:val="00932D44"/>
    <w:rsid w:val="0093365F"/>
    <w:rsid w:val="00933B0C"/>
    <w:rsid w:val="00933B76"/>
    <w:rsid w:val="00933CCA"/>
    <w:rsid w:val="00933DE8"/>
    <w:rsid w:val="0093499C"/>
    <w:rsid w:val="0093591D"/>
    <w:rsid w:val="0093772A"/>
    <w:rsid w:val="00937D72"/>
    <w:rsid w:val="00937F9C"/>
    <w:rsid w:val="0094035B"/>
    <w:rsid w:val="00940A43"/>
    <w:rsid w:val="00942214"/>
    <w:rsid w:val="00942465"/>
    <w:rsid w:val="00942E09"/>
    <w:rsid w:val="00944666"/>
    <w:rsid w:val="00944D2B"/>
    <w:rsid w:val="0094777C"/>
    <w:rsid w:val="009521B4"/>
    <w:rsid w:val="009537EF"/>
    <w:rsid w:val="009539D4"/>
    <w:rsid w:val="00956F54"/>
    <w:rsid w:val="00957F7C"/>
    <w:rsid w:val="009613D7"/>
    <w:rsid w:val="009628EF"/>
    <w:rsid w:val="00962F3D"/>
    <w:rsid w:val="009640C5"/>
    <w:rsid w:val="00966135"/>
    <w:rsid w:val="0096704B"/>
    <w:rsid w:val="00967462"/>
    <w:rsid w:val="009675AA"/>
    <w:rsid w:val="00970BA5"/>
    <w:rsid w:val="0097188E"/>
    <w:rsid w:val="00972091"/>
    <w:rsid w:val="0097227F"/>
    <w:rsid w:val="00972988"/>
    <w:rsid w:val="00972CAA"/>
    <w:rsid w:val="00973E06"/>
    <w:rsid w:val="009749AF"/>
    <w:rsid w:val="00975085"/>
    <w:rsid w:val="0097531D"/>
    <w:rsid w:val="0097548A"/>
    <w:rsid w:val="00975E76"/>
    <w:rsid w:val="0097613E"/>
    <w:rsid w:val="009766BE"/>
    <w:rsid w:val="00976A04"/>
    <w:rsid w:val="009772F8"/>
    <w:rsid w:val="009774D4"/>
    <w:rsid w:val="00980240"/>
    <w:rsid w:val="0098112C"/>
    <w:rsid w:val="009842F2"/>
    <w:rsid w:val="00984E38"/>
    <w:rsid w:val="009854CB"/>
    <w:rsid w:val="00985F39"/>
    <w:rsid w:val="00987C9A"/>
    <w:rsid w:val="00991200"/>
    <w:rsid w:val="00991F63"/>
    <w:rsid w:val="009924D4"/>
    <w:rsid w:val="0099255D"/>
    <w:rsid w:val="00993B29"/>
    <w:rsid w:val="00994098"/>
    <w:rsid w:val="00996580"/>
    <w:rsid w:val="009975BE"/>
    <w:rsid w:val="00997704"/>
    <w:rsid w:val="009A01F5"/>
    <w:rsid w:val="009A02C8"/>
    <w:rsid w:val="009A0324"/>
    <w:rsid w:val="009A0BFC"/>
    <w:rsid w:val="009A3C76"/>
    <w:rsid w:val="009A5140"/>
    <w:rsid w:val="009A5978"/>
    <w:rsid w:val="009A68E4"/>
    <w:rsid w:val="009A6C5E"/>
    <w:rsid w:val="009A783D"/>
    <w:rsid w:val="009B0A07"/>
    <w:rsid w:val="009B1750"/>
    <w:rsid w:val="009B1DD3"/>
    <w:rsid w:val="009B2D78"/>
    <w:rsid w:val="009B42ED"/>
    <w:rsid w:val="009B49D6"/>
    <w:rsid w:val="009B4CE0"/>
    <w:rsid w:val="009B5F3D"/>
    <w:rsid w:val="009B6441"/>
    <w:rsid w:val="009B6D16"/>
    <w:rsid w:val="009C0148"/>
    <w:rsid w:val="009C181C"/>
    <w:rsid w:val="009C3B31"/>
    <w:rsid w:val="009C47E4"/>
    <w:rsid w:val="009C503D"/>
    <w:rsid w:val="009C51AA"/>
    <w:rsid w:val="009C5DBA"/>
    <w:rsid w:val="009D0ACE"/>
    <w:rsid w:val="009D147F"/>
    <w:rsid w:val="009D2646"/>
    <w:rsid w:val="009D2890"/>
    <w:rsid w:val="009D2BD2"/>
    <w:rsid w:val="009D4A68"/>
    <w:rsid w:val="009D5ECB"/>
    <w:rsid w:val="009D65C3"/>
    <w:rsid w:val="009E1F5E"/>
    <w:rsid w:val="009E38AA"/>
    <w:rsid w:val="009E6721"/>
    <w:rsid w:val="009E7209"/>
    <w:rsid w:val="009E7DC4"/>
    <w:rsid w:val="009F236D"/>
    <w:rsid w:val="009F27E6"/>
    <w:rsid w:val="009F3B18"/>
    <w:rsid w:val="009F4DF2"/>
    <w:rsid w:val="009F558E"/>
    <w:rsid w:val="009F6B72"/>
    <w:rsid w:val="00A007B3"/>
    <w:rsid w:val="00A010D7"/>
    <w:rsid w:val="00A0174A"/>
    <w:rsid w:val="00A024F8"/>
    <w:rsid w:val="00A02575"/>
    <w:rsid w:val="00A038A1"/>
    <w:rsid w:val="00A04241"/>
    <w:rsid w:val="00A042D4"/>
    <w:rsid w:val="00A043BB"/>
    <w:rsid w:val="00A06A89"/>
    <w:rsid w:val="00A075EA"/>
    <w:rsid w:val="00A105D5"/>
    <w:rsid w:val="00A114C4"/>
    <w:rsid w:val="00A13A6D"/>
    <w:rsid w:val="00A15A54"/>
    <w:rsid w:val="00A16B53"/>
    <w:rsid w:val="00A16F29"/>
    <w:rsid w:val="00A1721E"/>
    <w:rsid w:val="00A176C5"/>
    <w:rsid w:val="00A21C6B"/>
    <w:rsid w:val="00A220F3"/>
    <w:rsid w:val="00A256D3"/>
    <w:rsid w:val="00A25EA7"/>
    <w:rsid w:val="00A2676F"/>
    <w:rsid w:val="00A310D9"/>
    <w:rsid w:val="00A32053"/>
    <w:rsid w:val="00A332FE"/>
    <w:rsid w:val="00A36AF0"/>
    <w:rsid w:val="00A37979"/>
    <w:rsid w:val="00A4042F"/>
    <w:rsid w:val="00A4179A"/>
    <w:rsid w:val="00A41A55"/>
    <w:rsid w:val="00A420C9"/>
    <w:rsid w:val="00A425F0"/>
    <w:rsid w:val="00A43796"/>
    <w:rsid w:val="00A50458"/>
    <w:rsid w:val="00A512AD"/>
    <w:rsid w:val="00A51581"/>
    <w:rsid w:val="00A5307E"/>
    <w:rsid w:val="00A5316C"/>
    <w:rsid w:val="00A5375D"/>
    <w:rsid w:val="00A537D3"/>
    <w:rsid w:val="00A537F6"/>
    <w:rsid w:val="00A53FB6"/>
    <w:rsid w:val="00A54BA8"/>
    <w:rsid w:val="00A564CB"/>
    <w:rsid w:val="00A564E2"/>
    <w:rsid w:val="00A56A34"/>
    <w:rsid w:val="00A574E5"/>
    <w:rsid w:val="00A57540"/>
    <w:rsid w:val="00A60A4D"/>
    <w:rsid w:val="00A6397C"/>
    <w:rsid w:val="00A64FE9"/>
    <w:rsid w:val="00A65CD5"/>
    <w:rsid w:val="00A6676E"/>
    <w:rsid w:val="00A66BCE"/>
    <w:rsid w:val="00A66E32"/>
    <w:rsid w:val="00A67BC0"/>
    <w:rsid w:val="00A7009F"/>
    <w:rsid w:val="00A7080F"/>
    <w:rsid w:val="00A708DD"/>
    <w:rsid w:val="00A70942"/>
    <w:rsid w:val="00A718B3"/>
    <w:rsid w:val="00A72D4B"/>
    <w:rsid w:val="00A73446"/>
    <w:rsid w:val="00A73AF0"/>
    <w:rsid w:val="00A748AC"/>
    <w:rsid w:val="00A75EB0"/>
    <w:rsid w:val="00A75F5C"/>
    <w:rsid w:val="00A77053"/>
    <w:rsid w:val="00A7772F"/>
    <w:rsid w:val="00A77B62"/>
    <w:rsid w:val="00A81329"/>
    <w:rsid w:val="00A816A4"/>
    <w:rsid w:val="00A81DF3"/>
    <w:rsid w:val="00A8270F"/>
    <w:rsid w:val="00A83F7D"/>
    <w:rsid w:val="00A840C9"/>
    <w:rsid w:val="00A85985"/>
    <w:rsid w:val="00A87DC0"/>
    <w:rsid w:val="00A91251"/>
    <w:rsid w:val="00A91E0F"/>
    <w:rsid w:val="00A92E9C"/>
    <w:rsid w:val="00A92EA5"/>
    <w:rsid w:val="00A944AC"/>
    <w:rsid w:val="00A9457C"/>
    <w:rsid w:val="00A94E94"/>
    <w:rsid w:val="00A95294"/>
    <w:rsid w:val="00A95528"/>
    <w:rsid w:val="00A97B3D"/>
    <w:rsid w:val="00AA18C7"/>
    <w:rsid w:val="00AA45D6"/>
    <w:rsid w:val="00AA52F0"/>
    <w:rsid w:val="00AA6723"/>
    <w:rsid w:val="00AA7070"/>
    <w:rsid w:val="00AA75FC"/>
    <w:rsid w:val="00AA7D79"/>
    <w:rsid w:val="00AB2AA8"/>
    <w:rsid w:val="00AB4F59"/>
    <w:rsid w:val="00AB638B"/>
    <w:rsid w:val="00AB6889"/>
    <w:rsid w:val="00AB6E1D"/>
    <w:rsid w:val="00AB780C"/>
    <w:rsid w:val="00AC1280"/>
    <w:rsid w:val="00AC1DE0"/>
    <w:rsid w:val="00AC2CFB"/>
    <w:rsid w:val="00AC44E4"/>
    <w:rsid w:val="00AC5445"/>
    <w:rsid w:val="00AC6E3A"/>
    <w:rsid w:val="00AD0D78"/>
    <w:rsid w:val="00AD1DB0"/>
    <w:rsid w:val="00AD2E87"/>
    <w:rsid w:val="00AD3E15"/>
    <w:rsid w:val="00AD4468"/>
    <w:rsid w:val="00AD55DE"/>
    <w:rsid w:val="00AD79FE"/>
    <w:rsid w:val="00AE0E85"/>
    <w:rsid w:val="00AE1278"/>
    <w:rsid w:val="00AE1405"/>
    <w:rsid w:val="00AE2875"/>
    <w:rsid w:val="00AE4500"/>
    <w:rsid w:val="00AE6211"/>
    <w:rsid w:val="00AE7FD7"/>
    <w:rsid w:val="00AF46A6"/>
    <w:rsid w:val="00AF54C0"/>
    <w:rsid w:val="00AF6559"/>
    <w:rsid w:val="00AF6E25"/>
    <w:rsid w:val="00AF7351"/>
    <w:rsid w:val="00AF7C97"/>
    <w:rsid w:val="00B0107B"/>
    <w:rsid w:val="00B039AA"/>
    <w:rsid w:val="00B0434E"/>
    <w:rsid w:val="00B04D30"/>
    <w:rsid w:val="00B10DF0"/>
    <w:rsid w:val="00B11396"/>
    <w:rsid w:val="00B113A8"/>
    <w:rsid w:val="00B117C6"/>
    <w:rsid w:val="00B1274B"/>
    <w:rsid w:val="00B129F7"/>
    <w:rsid w:val="00B13433"/>
    <w:rsid w:val="00B134A6"/>
    <w:rsid w:val="00B138F8"/>
    <w:rsid w:val="00B16C35"/>
    <w:rsid w:val="00B16E30"/>
    <w:rsid w:val="00B21A64"/>
    <w:rsid w:val="00B23FF1"/>
    <w:rsid w:val="00B249C5"/>
    <w:rsid w:val="00B24A7A"/>
    <w:rsid w:val="00B24B97"/>
    <w:rsid w:val="00B24C71"/>
    <w:rsid w:val="00B27408"/>
    <w:rsid w:val="00B27AA9"/>
    <w:rsid w:val="00B31D21"/>
    <w:rsid w:val="00B3336C"/>
    <w:rsid w:val="00B33388"/>
    <w:rsid w:val="00B33451"/>
    <w:rsid w:val="00B33826"/>
    <w:rsid w:val="00B3382D"/>
    <w:rsid w:val="00B34659"/>
    <w:rsid w:val="00B359F5"/>
    <w:rsid w:val="00B36C92"/>
    <w:rsid w:val="00B370FB"/>
    <w:rsid w:val="00B4198D"/>
    <w:rsid w:val="00B41B97"/>
    <w:rsid w:val="00B4378D"/>
    <w:rsid w:val="00B43B57"/>
    <w:rsid w:val="00B43CB9"/>
    <w:rsid w:val="00B4453C"/>
    <w:rsid w:val="00B46E62"/>
    <w:rsid w:val="00B471FC"/>
    <w:rsid w:val="00B51075"/>
    <w:rsid w:val="00B574CE"/>
    <w:rsid w:val="00B57C3B"/>
    <w:rsid w:val="00B621FD"/>
    <w:rsid w:val="00B62566"/>
    <w:rsid w:val="00B62BA5"/>
    <w:rsid w:val="00B63F31"/>
    <w:rsid w:val="00B6400C"/>
    <w:rsid w:val="00B6493F"/>
    <w:rsid w:val="00B6565D"/>
    <w:rsid w:val="00B6596D"/>
    <w:rsid w:val="00B708D6"/>
    <w:rsid w:val="00B70DBF"/>
    <w:rsid w:val="00B7124F"/>
    <w:rsid w:val="00B71B88"/>
    <w:rsid w:val="00B72B60"/>
    <w:rsid w:val="00B741A2"/>
    <w:rsid w:val="00B74D16"/>
    <w:rsid w:val="00B74DFC"/>
    <w:rsid w:val="00B7559A"/>
    <w:rsid w:val="00B75BD3"/>
    <w:rsid w:val="00B764B1"/>
    <w:rsid w:val="00B76925"/>
    <w:rsid w:val="00B76F15"/>
    <w:rsid w:val="00B77579"/>
    <w:rsid w:val="00B80101"/>
    <w:rsid w:val="00B80D0F"/>
    <w:rsid w:val="00B8124D"/>
    <w:rsid w:val="00B81ABD"/>
    <w:rsid w:val="00B81CAD"/>
    <w:rsid w:val="00B83544"/>
    <w:rsid w:val="00B837BB"/>
    <w:rsid w:val="00B8487B"/>
    <w:rsid w:val="00B90313"/>
    <w:rsid w:val="00B916A9"/>
    <w:rsid w:val="00B924C5"/>
    <w:rsid w:val="00B934A5"/>
    <w:rsid w:val="00B934DA"/>
    <w:rsid w:val="00B95535"/>
    <w:rsid w:val="00B96EB9"/>
    <w:rsid w:val="00B97AA4"/>
    <w:rsid w:val="00B97D66"/>
    <w:rsid w:val="00BA1005"/>
    <w:rsid w:val="00BA115D"/>
    <w:rsid w:val="00BA15C8"/>
    <w:rsid w:val="00BA1A49"/>
    <w:rsid w:val="00BA1C14"/>
    <w:rsid w:val="00BA2733"/>
    <w:rsid w:val="00BA4594"/>
    <w:rsid w:val="00BA47E4"/>
    <w:rsid w:val="00BA5C02"/>
    <w:rsid w:val="00BA7153"/>
    <w:rsid w:val="00BB1B12"/>
    <w:rsid w:val="00BB3333"/>
    <w:rsid w:val="00BB34A6"/>
    <w:rsid w:val="00BB3D22"/>
    <w:rsid w:val="00BB6094"/>
    <w:rsid w:val="00BB78B1"/>
    <w:rsid w:val="00BC161D"/>
    <w:rsid w:val="00BC336F"/>
    <w:rsid w:val="00BC4BE9"/>
    <w:rsid w:val="00BC51B3"/>
    <w:rsid w:val="00BC5735"/>
    <w:rsid w:val="00BC6619"/>
    <w:rsid w:val="00BC680B"/>
    <w:rsid w:val="00BC6E50"/>
    <w:rsid w:val="00BD00DA"/>
    <w:rsid w:val="00BD1F3F"/>
    <w:rsid w:val="00BD3DE1"/>
    <w:rsid w:val="00BE184F"/>
    <w:rsid w:val="00BE27BF"/>
    <w:rsid w:val="00BE3398"/>
    <w:rsid w:val="00BE366B"/>
    <w:rsid w:val="00BE4076"/>
    <w:rsid w:val="00BE4CDF"/>
    <w:rsid w:val="00BE5B49"/>
    <w:rsid w:val="00BE65E3"/>
    <w:rsid w:val="00BE65F3"/>
    <w:rsid w:val="00BE7041"/>
    <w:rsid w:val="00BE7518"/>
    <w:rsid w:val="00BF04AE"/>
    <w:rsid w:val="00BF05F3"/>
    <w:rsid w:val="00BF0FD9"/>
    <w:rsid w:val="00BF1254"/>
    <w:rsid w:val="00BF1EA8"/>
    <w:rsid w:val="00BF2BB0"/>
    <w:rsid w:val="00BF3E4E"/>
    <w:rsid w:val="00BF4480"/>
    <w:rsid w:val="00BF4618"/>
    <w:rsid w:val="00BF4ACE"/>
    <w:rsid w:val="00BF4CA2"/>
    <w:rsid w:val="00BF6CEA"/>
    <w:rsid w:val="00BF6F60"/>
    <w:rsid w:val="00BF765B"/>
    <w:rsid w:val="00BF7708"/>
    <w:rsid w:val="00BF7D2E"/>
    <w:rsid w:val="00BF7F3F"/>
    <w:rsid w:val="00C001B5"/>
    <w:rsid w:val="00C02010"/>
    <w:rsid w:val="00C03680"/>
    <w:rsid w:val="00C04363"/>
    <w:rsid w:val="00C04CA8"/>
    <w:rsid w:val="00C05DA2"/>
    <w:rsid w:val="00C06F25"/>
    <w:rsid w:val="00C07457"/>
    <w:rsid w:val="00C07655"/>
    <w:rsid w:val="00C10DBD"/>
    <w:rsid w:val="00C14283"/>
    <w:rsid w:val="00C1689A"/>
    <w:rsid w:val="00C170DB"/>
    <w:rsid w:val="00C175BF"/>
    <w:rsid w:val="00C21EE8"/>
    <w:rsid w:val="00C23040"/>
    <w:rsid w:val="00C23349"/>
    <w:rsid w:val="00C240BB"/>
    <w:rsid w:val="00C24793"/>
    <w:rsid w:val="00C271E9"/>
    <w:rsid w:val="00C2750A"/>
    <w:rsid w:val="00C27721"/>
    <w:rsid w:val="00C30B72"/>
    <w:rsid w:val="00C3144C"/>
    <w:rsid w:val="00C3147A"/>
    <w:rsid w:val="00C318EA"/>
    <w:rsid w:val="00C32A9D"/>
    <w:rsid w:val="00C3311E"/>
    <w:rsid w:val="00C334CC"/>
    <w:rsid w:val="00C349F1"/>
    <w:rsid w:val="00C34E1F"/>
    <w:rsid w:val="00C3573D"/>
    <w:rsid w:val="00C35B36"/>
    <w:rsid w:val="00C36BAD"/>
    <w:rsid w:val="00C4012F"/>
    <w:rsid w:val="00C405B3"/>
    <w:rsid w:val="00C41EF4"/>
    <w:rsid w:val="00C426A7"/>
    <w:rsid w:val="00C4272F"/>
    <w:rsid w:val="00C43639"/>
    <w:rsid w:val="00C4516E"/>
    <w:rsid w:val="00C467DA"/>
    <w:rsid w:val="00C513F2"/>
    <w:rsid w:val="00C51B33"/>
    <w:rsid w:val="00C532F1"/>
    <w:rsid w:val="00C56B19"/>
    <w:rsid w:val="00C56B51"/>
    <w:rsid w:val="00C5705D"/>
    <w:rsid w:val="00C57A7C"/>
    <w:rsid w:val="00C6077A"/>
    <w:rsid w:val="00C6126C"/>
    <w:rsid w:val="00C61315"/>
    <w:rsid w:val="00C61A9E"/>
    <w:rsid w:val="00C63711"/>
    <w:rsid w:val="00C64FA9"/>
    <w:rsid w:val="00C70A63"/>
    <w:rsid w:val="00C714C4"/>
    <w:rsid w:val="00C7298F"/>
    <w:rsid w:val="00C73F2B"/>
    <w:rsid w:val="00C742B2"/>
    <w:rsid w:val="00C75994"/>
    <w:rsid w:val="00C75B63"/>
    <w:rsid w:val="00C76F4B"/>
    <w:rsid w:val="00C816BC"/>
    <w:rsid w:val="00C81788"/>
    <w:rsid w:val="00C81E4B"/>
    <w:rsid w:val="00C82D99"/>
    <w:rsid w:val="00C83034"/>
    <w:rsid w:val="00C85E56"/>
    <w:rsid w:val="00C860E4"/>
    <w:rsid w:val="00C86FF4"/>
    <w:rsid w:val="00C904CD"/>
    <w:rsid w:val="00C908EE"/>
    <w:rsid w:val="00C90F6C"/>
    <w:rsid w:val="00C914B5"/>
    <w:rsid w:val="00C91E9F"/>
    <w:rsid w:val="00C921E4"/>
    <w:rsid w:val="00C945C5"/>
    <w:rsid w:val="00C9596C"/>
    <w:rsid w:val="00CA07BA"/>
    <w:rsid w:val="00CA0F8B"/>
    <w:rsid w:val="00CA1A4F"/>
    <w:rsid w:val="00CA2326"/>
    <w:rsid w:val="00CA2497"/>
    <w:rsid w:val="00CA3D51"/>
    <w:rsid w:val="00CA5514"/>
    <w:rsid w:val="00CA58A7"/>
    <w:rsid w:val="00CA5CC3"/>
    <w:rsid w:val="00CA6B5C"/>
    <w:rsid w:val="00CA72E4"/>
    <w:rsid w:val="00CA777C"/>
    <w:rsid w:val="00CB0868"/>
    <w:rsid w:val="00CB097B"/>
    <w:rsid w:val="00CB160B"/>
    <w:rsid w:val="00CB177A"/>
    <w:rsid w:val="00CB4401"/>
    <w:rsid w:val="00CB63F2"/>
    <w:rsid w:val="00CB756D"/>
    <w:rsid w:val="00CB7D66"/>
    <w:rsid w:val="00CC05DC"/>
    <w:rsid w:val="00CC246E"/>
    <w:rsid w:val="00CC24AB"/>
    <w:rsid w:val="00CC2CB2"/>
    <w:rsid w:val="00CC2D63"/>
    <w:rsid w:val="00CC3738"/>
    <w:rsid w:val="00CC37C2"/>
    <w:rsid w:val="00CC496D"/>
    <w:rsid w:val="00CC4A77"/>
    <w:rsid w:val="00CC70F0"/>
    <w:rsid w:val="00CC7384"/>
    <w:rsid w:val="00CD103E"/>
    <w:rsid w:val="00CD157D"/>
    <w:rsid w:val="00CD16E6"/>
    <w:rsid w:val="00CD1711"/>
    <w:rsid w:val="00CD1F13"/>
    <w:rsid w:val="00CD1F9D"/>
    <w:rsid w:val="00CD4D6C"/>
    <w:rsid w:val="00CD6E3A"/>
    <w:rsid w:val="00CE0642"/>
    <w:rsid w:val="00CE1494"/>
    <w:rsid w:val="00CE1AAF"/>
    <w:rsid w:val="00CE3C1D"/>
    <w:rsid w:val="00CE4520"/>
    <w:rsid w:val="00CE6CE8"/>
    <w:rsid w:val="00CE7445"/>
    <w:rsid w:val="00CF0958"/>
    <w:rsid w:val="00CF181E"/>
    <w:rsid w:val="00CF209E"/>
    <w:rsid w:val="00CF4E0A"/>
    <w:rsid w:val="00CF50B9"/>
    <w:rsid w:val="00CF5724"/>
    <w:rsid w:val="00CF580E"/>
    <w:rsid w:val="00CF59D6"/>
    <w:rsid w:val="00CF769B"/>
    <w:rsid w:val="00CF7A1F"/>
    <w:rsid w:val="00D002DC"/>
    <w:rsid w:val="00D00B49"/>
    <w:rsid w:val="00D00BE7"/>
    <w:rsid w:val="00D05198"/>
    <w:rsid w:val="00D05AFF"/>
    <w:rsid w:val="00D05CE3"/>
    <w:rsid w:val="00D06397"/>
    <w:rsid w:val="00D06735"/>
    <w:rsid w:val="00D0753A"/>
    <w:rsid w:val="00D07A75"/>
    <w:rsid w:val="00D10641"/>
    <w:rsid w:val="00D12271"/>
    <w:rsid w:val="00D13D91"/>
    <w:rsid w:val="00D14CCA"/>
    <w:rsid w:val="00D150C9"/>
    <w:rsid w:val="00D20605"/>
    <w:rsid w:val="00D225D1"/>
    <w:rsid w:val="00D22D81"/>
    <w:rsid w:val="00D23131"/>
    <w:rsid w:val="00D23137"/>
    <w:rsid w:val="00D2396B"/>
    <w:rsid w:val="00D242E7"/>
    <w:rsid w:val="00D24374"/>
    <w:rsid w:val="00D26C43"/>
    <w:rsid w:val="00D27270"/>
    <w:rsid w:val="00D2797D"/>
    <w:rsid w:val="00D3014A"/>
    <w:rsid w:val="00D301E7"/>
    <w:rsid w:val="00D30ABC"/>
    <w:rsid w:val="00D31661"/>
    <w:rsid w:val="00D319EB"/>
    <w:rsid w:val="00D34386"/>
    <w:rsid w:val="00D3491E"/>
    <w:rsid w:val="00D355C1"/>
    <w:rsid w:val="00D35884"/>
    <w:rsid w:val="00D3785E"/>
    <w:rsid w:val="00D37B62"/>
    <w:rsid w:val="00D407BB"/>
    <w:rsid w:val="00D4091E"/>
    <w:rsid w:val="00D40A7E"/>
    <w:rsid w:val="00D424B1"/>
    <w:rsid w:val="00D43BF1"/>
    <w:rsid w:val="00D446F5"/>
    <w:rsid w:val="00D458BD"/>
    <w:rsid w:val="00D4656C"/>
    <w:rsid w:val="00D46C79"/>
    <w:rsid w:val="00D47002"/>
    <w:rsid w:val="00D5038B"/>
    <w:rsid w:val="00D503D6"/>
    <w:rsid w:val="00D50663"/>
    <w:rsid w:val="00D5223E"/>
    <w:rsid w:val="00D529BC"/>
    <w:rsid w:val="00D52D6D"/>
    <w:rsid w:val="00D53AB6"/>
    <w:rsid w:val="00D53E23"/>
    <w:rsid w:val="00D54232"/>
    <w:rsid w:val="00D55A33"/>
    <w:rsid w:val="00D55B54"/>
    <w:rsid w:val="00D56267"/>
    <w:rsid w:val="00D56BA5"/>
    <w:rsid w:val="00D56E69"/>
    <w:rsid w:val="00D56F24"/>
    <w:rsid w:val="00D57505"/>
    <w:rsid w:val="00D60345"/>
    <w:rsid w:val="00D60960"/>
    <w:rsid w:val="00D610C9"/>
    <w:rsid w:val="00D6288B"/>
    <w:rsid w:val="00D629DB"/>
    <w:rsid w:val="00D62AB7"/>
    <w:rsid w:val="00D6330A"/>
    <w:rsid w:val="00D63E4C"/>
    <w:rsid w:val="00D64AD8"/>
    <w:rsid w:val="00D66152"/>
    <w:rsid w:val="00D6682B"/>
    <w:rsid w:val="00D66CF4"/>
    <w:rsid w:val="00D66E89"/>
    <w:rsid w:val="00D66EC8"/>
    <w:rsid w:val="00D67BD9"/>
    <w:rsid w:val="00D70B0F"/>
    <w:rsid w:val="00D7132E"/>
    <w:rsid w:val="00D71571"/>
    <w:rsid w:val="00D733C3"/>
    <w:rsid w:val="00D74519"/>
    <w:rsid w:val="00D75170"/>
    <w:rsid w:val="00D7521B"/>
    <w:rsid w:val="00D7546F"/>
    <w:rsid w:val="00D76045"/>
    <w:rsid w:val="00D76711"/>
    <w:rsid w:val="00D76ECC"/>
    <w:rsid w:val="00D77548"/>
    <w:rsid w:val="00D777B2"/>
    <w:rsid w:val="00D77BB9"/>
    <w:rsid w:val="00D800C3"/>
    <w:rsid w:val="00D81257"/>
    <w:rsid w:val="00D82575"/>
    <w:rsid w:val="00D84AC4"/>
    <w:rsid w:val="00D85B4A"/>
    <w:rsid w:val="00D906C7"/>
    <w:rsid w:val="00D91980"/>
    <w:rsid w:val="00D91A1D"/>
    <w:rsid w:val="00D91CCE"/>
    <w:rsid w:val="00D92EB4"/>
    <w:rsid w:val="00D933DE"/>
    <w:rsid w:val="00D93EAE"/>
    <w:rsid w:val="00D93FB1"/>
    <w:rsid w:val="00D94651"/>
    <w:rsid w:val="00D9483D"/>
    <w:rsid w:val="00D94B40"/>
    <w:rsid w:val="00D956EB"/>
    <w:rsid w:val="00D96028"/>
    <w:rsid w:val="00D96ABC"/>
    <w:rsid w:val="00D96E22"/>
    <w:rsid w:val="00D9736C"/>
    <w:rsid w:val="00D97D00"/>
    <w:rsid w:val="00DA0851"/>
    <w:rsid w:val="00DA1138"/>
    <w:rsid w:val="00DA159D"/>
    <w:rsid w:val="00DA4254"/>
    <w:rsid w:val="00DA57F4"/>
    <w:rsid w:val="00DA59CD"/>
    <w:rsid w:val="00DA5BC5"/>
    <w:rsid w:val="00DA6953"/>
    <w:rsid w:val="00DB0E74"/>
    <w:rsid w:val="00DB23EC"/>
    <w:rsid w:val="00DB2F12"/>
    <w:rsid w:val="00DB37A7"/>
    <w:rsid w:val="00DB3FA0"/>
    <w:rsid w:val="00DB4E2D"/>
    <w:rsid w:val="00DC26FA"/>
    <w:rsid w:val="00DC2BD6"/>
    <w:rsid w:val="00DC2F34"/>
    <w:rsid w:val="00DC399A"/>
    <w:rsid w:val="00DC4FAE"/>
    <w:rsid w:val="00DC5DF9"/>
    <w:rsid w:val="00DC6264"/>
    <w:rsid w:val="00DC6906"/>
    <w:rsid w:val="00DD0CF1"/>
    <w:rsid w:val="00DD196D"/>
    <w:rsid w:val="00DD2F88"/>
    <w:rsid w:val="00DD3F00"/>
    <w:rsid w:val="00DD56F4"/>
    <w:rsid w:val="00DD61E8"/>
    <w:rsid w:val="00DD74CE"/>
    <w:rsid w:val="00DD7BFE"/>
    <w:rsid w:val="00DD7DDC"/>
    <w:rsid w:val="00DE0AFD"/>
    <w:rsid w:val="00DE1540"/>
    <w:rsid w:val="00DE196E"/>
    <w:rsid w:val="00DE2DEA"/>
    <w:rsid w:val="00DE30C9"/>
    <w:rsid w:val="00DE3926"/>
    <w:rsid w:val="00DE5F36"/>
    <w:rsid w:val="00DF3F31"/>
    <w:rsid w:val="00DF412F"/>
    <w:rsid w:val="00DF6F52"/>
    <w:rsid w:val="00DF763A"/>
    <w:rsid w:val="00DF7A7A"/>
    <w:rsid w:val="00E01101"/>
    <w:rsid w:val="00E027A7"/>
    <w:rsid w:val="00E03397"/>
    <w:rsid w:val="00E045BA"/>
    <w:rsid w:val="00E05FA4"/>
    <w:rsid w:val="00E06A88"/>
    <w:rsid w:val="00E071CD"/>
    <w:rsid w:val="00E1003B"/>
    <w:rsid w:val="00E10206"/>
    <w:rsid w:val="00E1156F"/>
    <w:rsid w:val="00E117AB"/>
    <w:rsid w:val="00E11966"/>
    <w:rsid w:val="00E121C0"/>
    <w:rsid w:val="00E12234"/>
    <w:rsid w:val="00E1315C"/>
    <w:rsid w:val="00E145A9"/>
    <w:rsid w:val="00E161F7"/>
    <w:rsid w:val="00E1739E"/>
    <w:rsid w:val="00E176C8"/>
    <w:rsid w:val="00E201F4"/>
    <w:rsid w:val="00E216AC"/>
    <w:rsid w:val="00E21F88"/>
    <w:rsid w:val="00E221AC"/>
    <w:rsid w:val="00E22565"/>
    <w:rsid w:val="00E225CA"/>
    <w:rsid w:val="00E22D44"/>
    <w:rsid w:val="00E2325F"/>
    <w:rsid w:val="00E23713"/>
    <w:rsid w:val="00E23F6D"/>
    <w:rsid w:val="00E2557F"/>
    <w:rsid w:val="00E25746"/>
    <w:rsid w:val="00E25E92"/>
    <w:rsid w:val="00E26359"/>
    <w:rsid w:val="00E27AFD"/>
    <w:rsid w:val="00E30D9C"/>
    <w:rsid w:val="00E3143B"/>
    <w:rsid w:val="00E31888"/>
    <w:rsid w:val="00E32027"/>
    <w:rsid w:val="00E333C0"/>
    <w:rsid w:val="00E33EE4"/>
    <w:rsid w:val="00E34776"/>
    <w:rsid w:val="00E34C44"/>
    <w:rsid w:val="00E3597D"/>
    <w:rsid w:val="00E36ABA"/>
    <w:rsid w:val="00E37687"/>
    <w:rsid w:val="00E42B87"/>
    <w:rsid w:val="00E42D0D"/>
    <w:rsid w:val="00E444EF"/>
    <w:rsid w:val="00E44591"/>
    <w:rsid w:val="00E44C5C"/>
    <w:rsid w:val="00E45429"/>
    <w:rsid w:val="00E462F8"/>
    <w:rsid w:val="00E479A3"/>
    <w:rsid w:val="00E47AE1"/>
    <w:rsid w:val="00E53228"/>
    <w:rsid w:val="00E538A5"/>
    <w:rsid w:val="00E53E56"/>
    <w:rsid w:val="00E5415C"/>
    <w:rsid w:val="00E54BE5"/>
    <w:rsid w:val="00E55F80"/>
    <w:rsid w:val="00E56B7C"/>
    <w:rsid w:val="00E57290"/>
    <w:rsid w:val="00E61116"/>
    <w:rsid w:val="00E61B47"/>
    <w:rsid w:val="00E62A42"/>
    <w:rsid w:val="00E64F04"/>
    <w:rsid w:val="00E65014"/>
    <w:rsid w:val="00E66FBC"/>
    <w:rsid w:val="00E67236"/>
    <w:rsid w:val="00E673BB"/>
    <w:rsid w:val="00E67C88"/>
    <w:rsid w:val="00E70F42"/>
    <w:rsid w:val="00E721A8"/>
    <w:rsid w:val="00E722E5"/>
    <w:rsid w:val="00E72EE1"/>
    <w:rsid w:val="00E7421F"/>
    <w:rsid w:val="00E745BB"/>
    <w:rsid w:val="00E7584B"/>
    <w:rsid w:val="00E75856"/>
    <w:rsid w:val="00E771A8"/>
    <w:rsid w:val="00E774F4"/>
    <w:rsid w:val="00E77658"/>
    <w:rsid w:val="00E778C6"/>
    <w:rsid w:val="00E80851"/>
    <w:rsid w:val="00E80B1E"/>
    <w:rsid w:val="00E839E2"/>
    <w:rsid w:val="00E83F2F"/>
    <w:rsid w:val="00E842A3"/>
    <w:rsid w:val="00E8499E"/>
    <w:rsid w:val="00E86841"/>
    <w:rsid w:val="00E87405"/>
    <w:rsid w:val="00E87844"/>
    <w:rsid w:val="00E87A1F"/>
    <w:rsid w:val="00E87A59"/>
    <w:rsid w:val="00E90F74"/>
    <w:rsid w:val="00E90F89"/>
    <w:rsid w:val="00E915A6"/>
    <w:rsid w:val="00E93615"/>
    <w:rsid w:val="00E93CEA"/>
    <w:rsid w:val="00E95625"/>
    <w:rsid w:val="00E957D8"/>
    <w:rsid w:val="00E97BC1"/>
    <w:rsid w:val="00E97D23"/>
    <w:rsid w:val="00EA0C1E"/>
    <w:rsid w:val="00EA362B"/>
    <w:rsid w:val="00EA37D8"/>
    <w:rsid w:val="00EA3819"/>
    <w:rsid w:val="00EA420E"/>
    <w:rsid w:val="00EA5579"/>
    <w:rsid w:val="00EA5756"/>
    <w:rsid w:val="00EA5CD8"/>
    <w:rsid w:val="00EA5CDF"/>
    <w:rsid w:val="00EA6A86"/>
    <w:rsid w:val="00EA6ADA"/>
    <w:rsid w:val="00EA72AE"/>
    <w:rsid w:val="00EA743A"/>
    <w:rsid w:val="00EB1432"/>
    <w:rsid w:val="00EB1C26"/>
    <w:rsid w:val="00EB1CF6"/>
    <w:rsid w:val="00EB3878"/>
    <w:rsid w:val="00EB4649"/>
    <w:rsid w:val="00EB47EB"/>
    <w:rsid w:val="00EB4A26"/>
    <w:rsid w:val="00EB4A4A"/>
    <w:rsid w:val="00EB5972"/>
    <w:rsid w:val="00EB5C20"/>
    <w:rsid w:val="00EB7D52"/>
    <w:rsid w:val="00EC15BE"/>
    <w:rsid w:val="00EC2F17"/>
    <w:rsid w:val="00EC3081"/>
    <w:rsid w:val="00EC41EF"/>
    <w:rsid w:val="00EC4654"/>
    <w:rsid w:val="00EC476D"/>
    <w:rsid w:val="00EC5BB7"/>
    <w:rsid w:val="00EC65FF"/>
    <w:rsid w:val="00EC742B"/>
    <w:rsid w:val="00ED08A9"/>
    <w:rsid w:val="00ED10C2"/>
    <w:rsid w:val="00ED186B"/>
    <w:rsid w:val="00ED19B7"/>
    <w:rsid w:val="00ED1DEB"/>
    <w:rsid w:val="00ED4EB7"/>
    <w:rsid w:val="00ED58D6"/>
    <w:rsid w:val="00EE0D8D"/>
    <w:rsid w:val="00EE2F9D"/>
    <w:rsid w:val="00EE2FEF"/>
    <w:rsid w:val="00EE338F"/>
    <w:rsid w:val="00EE35ED"/>
    <w:rsid w:val="00EE5F8D"/>
    <w:rsid w:val="00EE610D"/>
    <w:rsid w:val="00EE7F3E"/>
    <w:rsid w:val="00EF069F"/>
    <w:rsid w:val="00EF20E2"/>
    <w:rsid w:val="00EF2422"/>
    <w:rsid w:val="00EF32EC"/>
    <w:rsid w:val="00EF3519"/>
    <w:rsid w:val="00EF358F"/>
    <w:rsid w:val="00EF3B1E"/>
    <w:rsid w:val="00EF49F2"/>
    <w:rsid w:val="00EF530A"/>
    <w:rsid w:val="00EF5671"/>
    <w:rsid w:val="00EF6A1E"/>
    <w:rsid w:val="00EF774C"/>
    <w:rsid w:val="00EF7776"/>
    <w:rsid w:val="00F004B7"/>
    <w:rsid w:val="00F109F8"/>
    <w:rsid w:val="00F10A06"/>
    <w:rsid w:val="00F118B2"/>
    <w:rsid w:val="00F12DF8"/>
    <w:rsid w:val="00F13599"/>
    <w:rsid w:val="00F14807"/>
    <w:rsid w:val="00F14818"/>
    <w:rsid w:val="00F1604C"/>
    <w:rsid w:val="00F16F1C"/>
    <w:rsid w:val="00F1751D"/>
    <w:rsid w:val="00F215D6"/>
    <w:rsid w:val="00F227AD"/>
    <w:rsid w:val="00F23617"/>
    <w:rsid w:val="00F23E79"/>
    <w:rsid w:val="00F2406A"/>
    <w:rsid w:val="00F30148"/>
    <w:rsid w:val="00F32841"/>
    <w:rsid w:val="00F32A3C"/>
    <w:rsid w:val="00F32E68"/>
    <w:rsid w:val="00F32E6B"/>
    <w:rsid w:val="00F33A38"/>
    <w:rsid w:val="00F33AD2"/>
    <w:rsid w:val="00F343FA"/>
    <w:rsid w:val="00F3576C"/>
    <w:rsid w:val="00F36443"/>
    <w:rsid w:val="00F3694F"/>
    <w:rsid w:val="00F36AFC"/>
    <w:rsid w:val="00F36B5F"/>
    <w:rsid w:val="00F36D18"/>
    <w:rsid w:val="00F37082"/>
    <w:rsid w:val="00F4094D"/>
    <w:rsid w:val="00F413C2"/>
    <w:rsid w:val="00F41C24"/>
    <w:rsid w:val="00F4314F"/>
    <w:rsid w:val="00F43D6C"/>
    <w:rsid w:val="00F44DBF"/>
    <w:rsid w:val="00F4568E"/>
    <w:rsid w:val="00F4735E"/>
    <w:rsid w:val="00F47BC7"/>
    <w:rsid w:val="00F52D16"/>
    <w:rsid w:val="00F53D0F"/>
    <w:rsid w:val="00F565FC"/>
    <w:rsid w:val="00F6001C"/>
    <w:rsid w:val="00F6040A"/>
    <w:rsid w:val="00F60C07"/>
    <w:rsid w:val="00F61A7C"/>
    <w:rsid w:val="00F632EF"/>
    <w:rsid w:val="00F64294"/>
    <w:rsid w:val="00F643AF"/>
    <w:rsid w:val="00F64FC7"/>
    <w:rsid w:val="00F65D6F"/>
    <w:rsid w:val="00F667AD"/>
    <w:rsid w:val="00F66BFF"/>
    <w:rsid w:val="00F67C4D"/>
    <w:rsid w:val="00F70E83"/>
    <w:rsid w:val="00F70F94"/>
    <w:rsid w:val="00F71902"/>
    <w:rsid w:val="00F71C3E"/>
    <w:rsid w:val="00F71E46"/>
    <w:rsid w:val="00F72144"/>
    <w:rsid w:val="00F74BE1"/>
    <w:rsid w:val="00F76877"/>
    <w:rsid w:val="00F76AF2"/>
    <w:rsid w:val="00F7717C"/>
    <w:rsid w:val="00F774AB"/>
    <w:rsid w:val="00F77665"/>
    <w:rsid w:val="00F77896"/>
    <w:rsid w:val="00F8080C"/>
    <w:rsid w:val="00F81CFD"/>
    <w:rsid w:val="00F823EA"/>
    <w:rsid w:val="00F863EE"/>
    <w:rsid w:val="00F91EDB"/>
    <w:rsid w:val="00F9216D"/>
    <w:rsid w:val="00F92452"/>
    <w:rsid w:val="00F924EA"/>
    <w:rsid w:val="00F92D26"/>
    <w:rsid w:val="00F940CC"/>
    <w:rsid w:val="00F95A51"/>
    <w:rsid w:val="00F96404"/>
    <w:rsid w:val="00F972A2"/>
    <w:rsid w:val="00F9783E"/>
    <w:rsid w:val="00F97C3B"/>
    <w:rsid w:val="00F97D61"/>
    <w:rsid w:val="00FA083A"/>
    <w:rsid w:val="00FA185B"/>
    <w:rsid w:val="00FA250C"/>
    <w:rsid w:val="00FA2A11"/>
    <w:rsid w:val="00FA2EA3"/>
    <w:rsid w:val="00FA3D74"/>
    <w:rsid w:val="00FA6063"/>
    <w:rsid w:val="00FA68F4"/>
    <w:rsid w:val="00FA7DC4"/>
    <w:rsid w:val="00FB1652"/>
    <w:rsid w:val="00FB49EA"/>
    <w:rsid w:val="00FB54DE"/>
    <w:rsid w:val="00FB73B8"/>
    <w:rsid w:val="00FC010B"/>
    <w:rsid w:val="00FC35FF"/>
    <w:rsid w:val="00FC37BC"/>
    <w:rsid w:val="00FC4178"/>
    <w:rsid w:val="00FC56D5"/>
    <w:rsid w:val="00FC64BC"/>
    <w:rsid w:val="00FC7402"/>
    <w:rsid w:val="00FC779B"/>
    <w:rsid w:val="00FC7ABA"/>
    <w:rsid w:val="00FC7D3C"/>
    <w:rsid w:val="00FD2204"/>
    <w:rsid w:val="00FD2C36"/>
    <w:rsid w:val="00FD3800"/>
    <w:rsid w:val="00FD5C08"/>
    <w:rsid w:val="00FD6B93"/>
    <w:rsid w:val="00FD6C97"/>
    <w:rsid w:val="00FD7377"/>
    <w:rsid w:val="00FD745A"/>
    <w:rsid w:val="00FE060A"/>
    <w:rsid w:val="00FE2499"/>
    <w:rsid w:val="00FE46DD"/>
    <w:rsid w:val="00FE4965"/>
    <w:rsid w:val="00FE5BC6"/>
    <w:rsid w:val="00FF047D"/>
    <w:rsid w:val="00FF05F5"/>
    <w:rsid w:val="00FF2BB9"/>
    <w:rsid w:val="00FF431D"/>
    <w:rsid w:val="00FF61CE"/>
    <w:rsid w:val="00FF7E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C8498"/>
  <w15:chartTrackingRefBased/>
  <w15:docId w15:val="{34457354-541B-48C1-944F-51B8FF59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aliases w:val=" Char"/>
    <w:basedOn w:val="Normal"/>
    <w:next w:val="Normal"/>
    <w:link w:val="Heading1Char"/>
    <w:qFormat/>
    <w:rsid w:val="005075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60ED4"/>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autoRedefine/>
    <w:qFormat/>
    <w:rsid w:val="003B1956"/>
    <w:pPr>
      <w:keepNext/>
      <w:spacing w:before="240" w:after="60"/>
      <w:ind w:left="-540"/>
      <w:jc w:val="both"/>
      <w:outlineLvl w:val="2"/>
    </w:pPr>
    <w:rPr>
      <w:rFonts w:cs="Arial"/>
      <w:b/>
      <w:bCs/>
      <w:sz w:val="26"/>
      <w:szCs w:val="26"/>
      <w:lang w:eastAsia="en-US"/>
    </w:rPr>
  </w:style>
  <w:style w:type="paragraph" w:styleId="Heading4">
    <w:name w:val="heading 4"/>
    <w:basedOn w:val="Normal"/>
    <w:next w:val="Normal"/>
    <w:autoRedefine/>
    <w:qFormat/>
    <w:rsid w:val="00483EEC"/>
    <w:pPr>
      <w:keepNext/>
      <w:spacing w:before="240" w:after="60"/>
      <w:ind w:left="397"/>
      <w:jc w:val="both"/>
      <w:outlineLvl w:val="3"/>
    </w:pPr>
    <w:rPr>
      <w:b/>
      <w:bCs/>
      <w:lang w:eastAsia="en-US"/>
    </w:rPr>
  </w:style>
  <w:style w:type="paragraph" w:styleId="Heading5">
    <w:name w:val="heading 5"/>
    <w:basedOn w:val="Normal"/>
    <w:next w:val="Normal"/>
    <w:qFormat/>
    <w:rsid w:val="00D66CF4"/>
    <w:pPr>
      <w:spacing w:before="240" w:after="60"/>
      <w:outlineLvl w:val="4"/>
    </w:pPr>
    <w:rPr>
      <w:b/>
      <w:bCs/>
      <w:i/>
      <w:iCs/>
      <w:sz w:val="26"/>
      <w:szCs w:val="26"/>
    </w:rPr>
  </w:style>
  <w:style w:type="paragraph" w:styleId="Heading6">
    <w:name w:val="heading 6"/>
    <w:basedOn w:val="Normal"/>
    <w:next w:val="Normal"/>
    <w:link w:val="Heading6Char"/>
    <w:qFormat/>
    <w:rsid w:val="003439D5"/>
    <w:pPr>
      <w:spacing w:before="240" w:after="60"/>
      <w:outlineLvl w:val="5"/>
    </w:pPr>
    <w:rPr>
      <w:b/>
      <w:bCs/>
      <w:sz w:val="22"/>
      <w:szCs w:val="22"/>
      <w:lang w:val="x-none" w:eastAsia="x-none"/>
    </w:rPr>
  </w:style>
  <w:style w:type="paragraph" w:styleId="Heading7">
    <w:name w:val="heading 7"/>
    <w:basedOn w:val="Normal"/>
    <w:next w:val="Normal"/>
    <w:link w:val="Heading7Char"/>
    <w:qFormat/>
    <w:rsid w:val="003439D5"/>
    <w:pPr>
      <w:spacing w:before="240" w:after="60"/>
      <w:outlineLvl w:val="6"/>
    </w:pPr>
    <w:rPr>
      <w:lang w:val="x-none" w:eastAsia="x-none"/>
    </w:rPr>
  </w:style>
  <w:style w:type="paragraph" w:styleId="Heading8">
    <w:name w:val="heading 8"/>
    <w:basedOn w:val="Normal"/>
    <w:next w:val="Normal"/>
    <w:link w:val="Heading8Char"/>
    <w:qFormat/>
    <w:rsid w:val="00AE0E85"/>
    <w:pPr>
      <w:keepNext/>
      <w:jc w:val="both"/>
      <w:outlineLvl w:val="7"/>
    </w:pPr>
    <w:rPr>
      <w:b/>
      <w:bCs/>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link w:val="Heading1"/>
    <w:rsid w:val="005075B6"/>
    <w:rPr>
      <w:rFonts w:ascii="Arial" w:hAnsi="Arial" w:cs="Arial"/>
      <w:b/>
      <w:bCs/>
      <w:kern w:val="32"/>
      <w:sz w:val="32"/>
      <w:szCs w:val="32"/>
      <w:lang w:val="el-GR" w:eastAsia="el-GR" w:bidi="ar-SA"/>
    </w:rPr>
  </w:style>
  <w:style w:type="paragraph" w:customStyle="1" w:styleId="127">
    <w:name w:val="Στυλ Πλήρης Αριστερά:  127 εκ."/>
    <w:basedOn w:val="Normal"/>
    <w:autoRedefine/>
    <w:rsid w:val="0016087F"/>
    <w:pPr>
      <w:spacing w:after="120"/>
      <w:ind w:left="720"/>
      <w:jc w:val="both"/>
    </w:pPr>
    <w:rPr>
      <w:szCs w:val="20"/>
      <w:lang w:eastAsia="en-US"/>
    </w:rPr>
  </w:style>
  <w:style w:type="paragraph" w:customStyle="1" w:styleId="058">
    <w:name w:val="Στυλ Πλήρης Αριστερά:  058 εκ."/>
    <w:basedOn w:val="Normal"/>
    <w:autoRedefine/>
    <w:rsid w:val="0016087F"/>
    <w:pPr>
      <w:spacing w:after="120"/>
      <w:ind w:left="329"/>
      <w:jc w:val="both"/>
    </w:pPr>
    <w:rPr>
      <w:sz w:val="20"/>
      <w:szCs w:val="20"/>
      <w:lang w:eastAsia="en-US"/>
    </w:rPr>
  </w:style>
  <w:style w:type="table" w:styleId="TableGrid">
    <w:name w:val="Table Grid"/>
    <w:basedOn w:val="TableNormal"/>
    <w:rsid w:val="00160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8005">
    <w:name w:val="Στυλ Πλήρης Αριστερά:  058 εκ. Προεξοχή:  005 εκ."/>
    <w:basedOn w:val="Normal"/>
    <w:autoRedefine/>
    <w:rsid w:val="0016087F"/>
    <w:pPr>
      <w:spacing w:after="120"/>
      <w:ind w:left="357" w:hanging="28"/>
      <w:jc w:val="both"/>
    </w:pPr>
    <w:rPr>
      <w:szCs w:val="20"/>
      <w:lang w:eastAsia="en-US"/>
    </w:rPr>
  </w:style>
  <w:style w:type="paragraph" w:customStyle="1" w:styleId="0580051">
    <w:name w:val="Στυλ Πλήρης Αριστερά:  058 εκ. Προεξοχή:  005 εκ.1"/>
    <w:basedOn w:val="Normal"/>
    <w:autoRedefine/>
    <w:rsid w:val="0016087F"/>
    <w:pPr>
      <w:spacing w:after="120"/>
      <w:ind w:left="357" w:hanging="28"/>
      <w:jc w:val="both"/>
    </w:pPr>
    <w:rPr>
      <w:szCs w:val="20"/>
      <w:lang w:eastAsia="en-US"/>
    </w:rPr>
  </w:style>
  <w:style w:type="character" w:styleId="Hyperlink">
    <w:name w:val="Hyperlink"/>
    <w:uiPriority w:val="99"/>
    <w:rsid w:val="00D3785E"/>
    <w:rPr>
      <w:color w:val="0000FF"/>
      <w:u w:val="single"/>
    </w:rPr>
  </w:style>
  <w:style w:type="paragraph" w:customStyle="1" w:styleId="METKA">
    <w:name w:val="METKA"/>
    <w:basedOn w:val="Normal"/>
    <w:rsid w:val="00D3785E"/>
    <w:pPr>
      <w:spacing w:after="120" w:line="360" w:lineRule="auto"/>
      <w:jc w:val="both"/>
    </w:pPr>
    <w:rPr>
      <w:sz w:val="22"/>
    </w:rPr>
  </w:style>
  <w:style w:type="paragraph" w:styleId="Caption">
    <w:name w:val="caption"/>
    <w:basedOn w:val="Normal"/>
    <w:next w:val="Normal"/>
    <w:qFormat/>
    <w:rsid w:val="009924D4"/>
    <w:pPr>
      <w:spacing w:before="120" w:after="120"/>
    </w:pPr>
    <w:rPr>
      <w:b/>
      <w:bCs/>
      <w:sz w:val="20"/>
      <w:szCs w:val="20"/>
    </w:rPr>
  </w:style>
  <w:style w:type="paragraph" w:styleId="Header">
    <w:name w:val="header"/>
    <w:basedOn w:val="Normal"/>
    <w:rsid w:val="009924D4"/>
    <w:pPr>
      <w:tabs>
        <w:tab w:val="center" w:pos="4153"/>
        <w:tab w:val="right" w:pos="8306"/>
      </w:tabs>
    </w:pPr>
  </w:style>
  <w:style w:type="paragraph" w:styleId="Footer">
    <w:name w:val="footer"/>
    <w:basedOn w:val="Normal"/>
    <w:link w:val="FooterChar"/>
    <w:rsid w:val="009924D4"/>
    <w:pPr>
      <w:tabs>
        <w:tab w:val="center" w:pos="4153"/>
        <w:tab w:val="right" w:pos="8306"/>
      </w:tabs>
    </w:pPr>
    <w:rPr>
      <w:lang w:val="x-none" w:eastAsia="x-none"/>
    </w:rPr>
  </w:style>
  <w:style w:type="paragraph" w:styleId="FootnoteText">
    <w:name w:val="footnote text"/>
    <w:basedOn w:val="Normal"/>
    <w:semiHidden/>
    <w:rsid w:val="00400966"/>
    <w:rPr>
      <w:sz w:val="20"/>
      <w:szCs w:val="20"/>
    </w:rPr>
  </w:style>
  <w:style w:type="character" w:styleId="FootnoteReference">
    <w:name w:val="footnote reference"/>
    <w:semiHidden/>
    <w:rsid w:val="00400966"/>
    <w:rPr>
      <w:vertAlign w:val="superscript"/>
    </w:rPr>
  </w:style>
  <w:style w:type="paragraph" w:styleId="BodyText">
    <w:name w:val="Body Text"/>
    <w:basedOn w:val="Normal"/>
    <w:rsid w:val="005F2448"/>
    <w:pPr>
      <w:jc w:val="both"/>
    </w:pPr>
    <w:rPr>
      <w:rFonts w:ascii="Arial" w:hAnsi="Arial"/>
      <w:sz w:val="20"/>
      <w:szCs w:val="20"/>
      <w:lang w:eastAsia="en-US"/>
    </w:rPr>
  </w:style>
  <w:style w:type="paragraph" w:customStyle="1" w:styleId="NormalPanos">
    <w:name w:val="Normal Panos"/>
    <w:basedOn w:val="Normal"/>
    <w:rsid w:val="005128E8"/>
    <w:pPr>
      <w:spacing w:line="312" w:lineRule="auto"/>
      <w:jc w:val="both"/>
    </w:pPr>
    <w:rPr>
      <w:sz w:val="22"/>
      <w:lang w:val="en-US"/>
    </w:rPr>
  </w:style>
  <w:style w:type="paragraph" w:styleId="TOC1">
    <w:name w:val="toc 1"/>
    <w:basedOn w:val="Normal"/>
    <w:next w:val="Normal"/>
    <w:autoRedefine/>
    <w:uiPriority w:val="39"/>
    <w:rsid w:val="00C4516E"/>
    <w:pPr>
      <w:tabs>
        <w:tab w:val="left" w:pos="480"/>
        <w:tab w:val="right" w:leader="dot" w:pos="8813"/>
      </w:tabs>
      <w:spacing w:before="240" w:after="120"/>
      <w:jc w:val="center"/>
    </w:pPr>
    <w:rPr>
      <w:b/>
      <w:bCs/>
      <w:sz w:val="20"/>
      <w:szCs w:val="20"/>
    </w:rPr>
  </w:style>
  <w:style w:type="paragraph" w:styleId="TOC2">
    <w:name w:val="toc 2"/>
    <w:basedOn w:val="Normal"/>
    <w:next w:val="Normal"/>
    <w:autoRedefine/>
    <w:uiPriority w:val="39"/>
    <w:rsid w:val="00D34386"/>
    <w:pPr>
      <w:tabs>
        <w:tab w:val="right" w:leader="dot" w:pos="8302"/>
      </w:tabs>
      <w:ind w:left="238"/>
    </w:pPr>
    <w:rPr>
      <w:i/>
      <w:iCs/>
      <w:sz w:val="20"/>
      <w:szCs w:val="20"/>
    </w:rPr>
  </w:style>
  <w:style w:type="paragraph" w:styleId="TOC3">
    <w:name w:val="toc 3"/>
    <w:basedOn w:val="Normal"/>
    <w:next w:val="Normal"/>
    <w:autoRedefine/>
    <w:semiHidden/>
    <w:rsid w:val="008D02FF"/>
    <w:pPr>
      <w:ind w:left="480"/>
    </w:pPr>
    <w:rPr>
      <w:sz w:val="20"/>
      <w:szCs w:val="20"/>
    </w:rPr>
  </w:style>
  <w:style w:type="paragraph" w:styleId="TOC4">
    <w:name w:val="toc 4"/>
    <w:basedOn w:val="Normal"/>
    <w:next w:val="Normal"/>
    <w:autoRedefine/>
    <w:semiHidden/>
    <w:rsid w:val="008D02FF"/>
    <w:pPr>
      <w:ind w:left="720"/>
    </w:pPr>
    <w:rPr>
      <w:sz w:val="20"/>
      <w:szCs w:val="20"/>
    </w:rPr>
  </w:style>
  <w:style w:type="paragraph" w:styleId="TOC5">
    <w:name w:val="toc 5"/>
    <w:basedOn w:val="Normal"/>
    <w:next w:val="Normal"/>
    <w:autoRedefine/>
    <w:semiHidden/>
    <w:rsid w:val="008D02FF"/>
    <w:pPr>
      <w:ind w:left="960"/>
    </w:pPr>
    <w:rPr>
      <w:sz w:val="20"/>
      <w:szCs w:val="20"/>
    </w:rPr>
  </w:style>
  <w:style w:type="paragraph" w:styleId="TOC6">
    <w:name w:val="toc 6"/>
    <w:basedOn w:val="Normal"/>
    <w:next w:val="Normal"/>
    <w:autoRedefine/>
    <w:semiHidden/>
    <w:rsid w:val="008D02FF"/>
    <w:pPr>
      <w:ind w:left="1200"/>
    </w:pPr>
    <w:rPr>
      <w:sz w:val="20"/>
      <w:szCs w:val="20"/>
    </w:rPr>
  </w:style>
  <w:style w:type="paragraph" w:styleId="TOC7">
    <w:name w:val="toc 7"/>
    <w:basedOn w:val="Normal"/>
    <w:next w:val="Normal"/>
    <w:autoRedefine/>
    <w:semiHidden/>
    <w:rsid w:val="008D02FF"/>
    <w:pPr>
      <w:ind w:left="1440"/>
    </w:pPr>
    <w:rPr>
      <w:sz w:val="20"/>
      <w:szCs w:val="20"/>
    </w:rPr>
  </w:style>
  <w:style w:type="paragraph" w:styleId="TOC8">
    <w:name w:val="toc 8"/>
    <w:basedOn w:val="Normal"/>
    <w:next w:val="Normal"/>
    <w:autoRedefine/>
    <w:semiHidden/>
    <w:rsid w:val="008D02FF"/>
    <w:pPr>
      <w:ind w:left="1680"/>
    </w:pPr>
    <w:rPr>
      <w:sz w:val="20"/>
      <w:szCs w:val="20"/>
    </w:rPr>
  </w:style>
  <w:style w:type="paragraph" w:styleId="TOC9">
    <w:name w:val="toc 9"/>
    <w:basedOn w:val="Normal"/>
    <w:next w:val="Normal"/>
    <w:autoRedefine/>
    <w:semiHidden/>
    <w:rsid w:val="008D02FF"/>
    <w:pPr>
      <w:ind w:left="1920"/>
    </w:pPr>
    <w:rPr>
      <w:sz w:val="20"/>
      <w:szCs w:val="20"/>
    </w:rPr>
  </w:style>
  <w:style w:type="character" w:styleId="PageNumber">
    <w:name w:val="page number"/>
    <w:basedOn w:val="DefaultParagraphFont"/>
    <w:rsid w:val="00D06735"/>
  </w:style>
  <w:style w:type="paragraph" w:styleId="NormalWeb">
    <w:name w:val="Normal (Web)"/>
    <w:basedOn w:val="Normal"/>
    <w:rsid w:val="005F7521"/>
    <w:pPr>
      <w:spacing w:before="100" w:beforeAutospacing="1" w:after="100" w:afterAutospacing="1"/>
    </w:pPr>
    <w:rPr>
      <w:rFonts w:ascii="Arial Unicode MS" w:eastAsia="Arial Unicode MS" w:hAnsi="Arial Unicode MS" w:cs="Arial Unicode MS"/>
    </w:rPr>
  </w:style>
  <w:style w:type="paragraph" w:customStyle="1" w:styleId="Default">
    <w:name w:val="Default"/>
    <w:rsid w:val="00D7132E"/>
    <w:pPr>
      <w:autoSpaceDE w:val="0"/>
      <w:autoSpaceDN w:val="0"/>
      <w:adjustRightInd w:val="0"/>
    </w:pPr>
    <w:rPr>
      <w:rFonts w:ascii="Tahoma" w:hAnsi="Tahoma" w:cs="Tahoma"/>
      <w:color w:val="000000"/>
      <w:sz w:val="24"/>
      <w:szCs w:val="24"/>
    </w:rPr>
  </w:style>
  <w:style w:type="paragraph" w:customStyle="1" w:styleId="body">
    <w:name w:val="body"/>
    <w:basedOn w:val="Normal"/>
    <w:rsid w:val="00AC5445"/>
    <w:pPr>
      <w:spacing w:before="100" w:beforeAutospacing="1" w:after="120"/>
    </w:pPr>
    <w:rPr>
      <w:rFonts w:ascii="Arial" w:hAnsi="Arial" w:cs="Arial"/>
      <w:sz w:val="20"/>
      <w:szCs w:val="20"/>
      <w:lang w:val="en-US" w:eastAsia="en-US"/>
    </w:rPr>
  </w:style>
  <w:style w:type="character" w:styleId="CommentReference">
    <w:name w:val="annotation reference"/>
    <w:uiPriority w:val="99"/>
    <w:semiHidden/>
    <w:unhideWhenUsed/>
    <w:rsid w:val="00CC496D"/>
    <w:rPr>
      <w:sz w:val="16"/>
      <w:szCs w:val="16"/>
    </w:rPr>
  </w:style>
  <w:style w:type="paragraph" w:styleId="CommentText">
    <w:name w:val="annotation text"/>
    <w:basedOn w:val="Normal"/>
    <w:link w:val="CommentTextChar"/>
    <w:semiHidden/>
    <w:unhideWhenUsed/>
    <w:rsid w:val="00CC496D"/>
    <w:rPr>
      <w:sz w:val="20"/>
      <w:szCs w:val="20"/>
    </w:rPr>
  </w:style>
  <w:style w:type="character" w:customStyle="1" w:styleId="CommentTextChar">
    <w:name w:val="Comment Text Char"/>
    <w:basedOn w:val="DefaultParagraphFont"/>
    <w:link w:val="CommentText"/>
    <w:semiHidden/>
    <w:rsid w:val="00CC496D"/>
  </w:style>
  <w:style w:type="paragraph" w:styleId="CommentSubject">
    <w:name w:val="annotation subject"/>
    <w:basedOn w:val="CommentText"/>
    <w:next w:val="CommentText"/>
    <w:link w:val="CommentSubjectChar"/>
    <w:semiHidden/>
    <w:unhideWhenUsed/>
    <w:rsid w:val="00CC496D"/>
    <w:rPr>
      <w:b/>
      <w:bCs/>
      <w:lang w:val="x-none" w:eastAsia="x-none"/>
    </w:rPr>
  </w:style>
  <w:style w:type="character" w:customStyle="1" w:styleId="CommentSubjectChar">
    <w:name w:val="Comment Subject Char"/>
    <w:link w:val="CommentSubject"/>
    <w:semiHidden/>
    <w:rsid w:val="00CC496D"/>
    <w:rPr>
      <w:b/>
      <w:bCs/>
    </w:rPr>
  </w:style>
  <w:style w:type="paragraph" w:styleId="BalloonText">
    <w:name w:val="Balloon Text"/>
    <w:basedOn w:val="Normal"/>
    <w:link w:val="BalloonTextChar"/>
    <w:semiHidden/>
    <w:unhideWhenUsed/>
    <w:rsid w:val="00CC496D"/>
    <w:rPr>
      <w:rFonts w:ascii="Tahoma" w:hAnsi="Tahoma"/>
      <w:sz w:val="16"/>
      <w:szCs w:val="16"/>
      <w:lang w:val="x-none" w:eastAsia="x-none"/>
    </w:rPr>
  </w:style>
  <w:style w:type="character" w:customStyle="1" w:styleId="BalloonTextChar">
    <w:name w:val="Balloon Text Char"/>
    <w:link w:val="BalloonText"/>
    <w:semiHidden/>
    <w:rsid w:val="00CC496D"/>
    <w:rPr>
      <w:rFonts w:ascii="Tahoma" w:hAnsi="Tahoma" w:cs="Tahoma"/>
      <w:sz w:val="16"/>
      <w:szCs w:val="16"/>
    </w:rPr>
  </w:style>
  <w:style w:type="paragraph" w:styleId="EndnoteText">
    <w:name w:val="endnote text"/>
    <w:basedOn w:val="Normal"/>
    <w:link w:val="EndnoteTextChar"/>
    <w:semiHidden/>
    <w:unhideWhenUsed/>
    <w:rsid w:val="00CC496D"/>
    <w:rPr>
      <w:sz w:val="20"/>
      <w:szCs w:val="20"/>
    </w:rPr>
  </w:style>
  <w:style w:type="character" w:customStyle="1" w:styleId="EndnoteTextChar">
    <w:name w:val="Endnote Text Char"/>
    <w:basedOn w:val="DefaultParagraphFont"/>
    <w:link w:val="EndnoteText"/>
    <w:semiHidden/>
    <w:rsid w:val="00CC496D"/>
  </w:style>
  <w:style w:type="character" w:styleId="EndnoteReference">
    <w:name w:val="endnote reference"/>
    <w:uiPriority w:val="99"/>
    <w:semiHidden/>
    <w:unhideWhenUsed/>
    <w:rsid w:val="00CC496D"/>
    <w:rPr>
      <w:vertAlign w:val="superscript"/>
    </w:rPr>
  </w:style>
  <w:style w:type="character" w:customStyle="1" w:styleId="Heading6Char">
    <w:name w:val="Heading 6 Char"/>
    <w:link w:val="Heading6"/>
    <w:rsid w:val="003439D5"/>
    <w:rPr>
      <w:b/>
      <w:bCs/>
      <w:sz w:val="22"/>
      <w:szCs w:val="22"/>
    </w:rPr>
  </w:style>
  <w:style w:type="character" w:customStyle="1" w:styleId="Heading7Char">
    <w:name w:val="Heading 7 Char"/>
    <w:link w:val="Heading7"/>
    <w:rsid w:val="003439D5"/>
    <w:rPr>
      <w:sz w:val="24"/>
      <w:szCs w:val="24"/>
    </w:rPr>
  </w:style>
  <w:style w:type="paragraph" w:customStyle="1" w:styleId="Style12">
    <w:name w:val="Style12"/>
    <w:basedOn w:val="Normal"/>
    <w:rsid w:val="003439D5"/>
    <w:pPr>
      <w:widowControl w:val="0"/>
      <w:autoSpaceDE w:val="0"/>
      <w:autoSpaceDN w:val="0"/>
      <w:adjustRightInd w:val="0"/>
    </w:pPr>
    <w:rPr>
      <w:rFonts w:ascii="Arial" w:hAnsi="Arial"/>
    </w:rPr>
  </w:style>
  <w:style w:type="paragraph" w:customStyle="1" w:styleId="Style29">
    <w:name w:val="Style29"/>
    <w:basedOn w:val="Normal"/>
    <w:rsid w:val="003439D5"/>
    <w:pPr>
      <w:widowControl w:val="0"/>
      <w:autoSpaceDE w:val="0"/>
      <w:autoSpaceDN w:val="0"/>
      <w:adjustRightInd w:val="0"/>
      <w:spacing w:line="262" w:lineRule="exact"/>
      <w:jc w:val="both"/>
    </w:pPr>
    <w:rPr>
      <w:rFonts w:ascii="Arial" w:hAnsi="Arial"/>
    </w:rPr>
  </w:style>
  <w:style w:type="paragraph" w:customStyle="1" w:styleId="Style34">
    <w:name w:val="Style34"/>
    <w:basedOn w:val="Normal"/>
    <w:rsid w:val="003439D5"/>
    <w:pPr>
      <w:widowControl w:val="0"/>
      <w:autoSpaceDE w:val="0"/>
      <w:autoSpaceDN w:val="0"/>
      <w:adjustRightInd w:val="0"/>
    </w:pPr>
    <w:rPr>
      <w:rFonts w:ascii="Arial" w:hAnsi="Arial"/>
    </w:rPr>
  </w:style>
  <w:style w:type="paragraph" w:customStyle="1" w:styleId="Style53">
    <w:name w:val="Style53"/>
    <w:basedOn w:val="Normal"/>
    <w:rsid w:val="003439D5"/>
    <w:pPr>
      <w:widowControl w:val="0"/>
      <w:autoSpaceDE w:val="0"/>
      <w:autoSpaceDN w:val="0"/>
      <w:adjustRightInd w:val="0"/>
      <w:spacing w:line="384" w:lineRule="exact"/>
      <w:jc w:val="center"/>
    </w:pPr>
    <w:rPr>
      <w:rFonts w:ascii="Arial" w:hAnsi="Arial"/>
    </w:rPr>
  </w:style>
  <w:style w:type="paragraph" w:customStyle="1" w:styleId="Style57">
    <w:name w:val="Style57"/>
    <w:basedOn w:val="Normal"/>
    <w:rsid w:val="003439D5"/>
    <w:pPr>
      <w:widowControl w:val="0"/>
      <w:autoSpaceDE w:val="0"/>
      <w:autoSpaceDN w:val="0"/>
      <w:adjustRightInd w:val="0"/>
      <w:spacing w:line="248" w:lineRule="exact"/>
      <w:ind w:firstLine="854"/>
      <w:jc w:val="both"/>
    </w:pPr>
    <w:rPr>
      <w:rFonts w:ascii="Arial" w:hAnsi="Arial"/>
    </w:rPr>
  </w:style>
  <w:style w:type="paragraph" w:customStyle="1" w:styleId="Style58">
    <w:name w:val="Style58"/>
    <w:basedOn w:val="Normal"/>
    <w:rsid w:val="003439D5"/>
    <w:pPr>
      <w:widowControl w:val="0"/>
      <w:autoSpaceDE w:val="0"/>
      <w:autoSpaceDN w:val="0"/>
      <w:adjustRightInd w:val="0"/>
      <w:spacing w:line="269" w:lineRule="exact"/>
      <w:jc w:val="center"/>
    </w:pPr>
    <w:rPr>
      <w:rFonts w:ascii="Arial" w:hAnsi="Arial"/>
    </w:rPr>
  </w:style>
  <w:style w:type="paragraph" w:customStyle="1" w:styleId="Style59">
    <w:name w:val="Style59"/>
    <w:basedOn w:val="Normal"/>
    <w:rsid w:val="003439D5"/>
    <w:pPr>
      <w:widowControl w:val="0"/>
      <w:autoSpaceDE w:val="0"/>
      <w:autoSpaceDN w:val="0"/>
      <w:adjustRightInd w:val="0"/>
      <w:spacing w:line="432" w:lineRule="exact"/>
      <w:ind w:firstLine="1402"/>
    </w:pPr>
    <w:rPr>
      <w:rFonts w:ascii="Arial" w:hAnsi="Arial"/>
    </w:rPr>
  </w:style>
  <w:style w:type="paragraph" w:customStyle="1" w:styleId="Style61">
    <w:name w:val="Style61"/>
    <w:basedOn w:val="Normal"/>
    <w:rsid w:val="003439D5"/>
    <w:pPr>
      <w:widowControl w:val="0"/>
      <w:autoSpaceDE w:val="0"/>
      <w:autoSpaceDN w:val="0"/>
      <w:adjustRightInd w:val="0"/>
      <w:spacing w:line="247" w:lineRule="exact"/>
      <w:ind w:firstLine="619"/>
      <w:jc w:val="both"/>
    </w:pPr>
    <w:rPr>
      <w:rFonts w:ascii="Arial" w:hAnsi="Arial"/>
    </w:rPr>
  </w:style>
  <w:style w:type="paragraph" w:customStyle="1" w:styleId="Style67">
    <w:name w:val="Style67"/>
    <w:basedOn w:val="Normal"/>
    <w:rsid w:val="003439D5"/>
    <w:pPr>
      <w:widowControl w:val="0"/>
      <w:autoSpaceDE w:val="0"/>
      <w:autoSpaceDN w:val="0"/>
      <w:adjustRightInd w:val="0"/>
    </w:pPr>
    <w:rPr>
      <w:rFonts w:ascii="Arial" w:hAnsi="Arial"/>
    </w:rPr>
  </w:style>
  <w:style w:type="character" w:customStyle="1" w:styleId="FontStyle206">
    <w:name w:val="Font Style206"/>
    <w:rsid w:val="003439D5"/>
    <w:rPr>
      <w:rFonts w:ascii="Book Antiqua" w:hAnsi="Book Antiqua" w:cs="Book Antiqua"/>
      <w:b/>
      <w:bCs/>
      <w:i/>
      <w:iCs/>
      <w:sz w:val="18"/>
      <w:szCs w:val="18"/>
    </w:rPr>
  </w:style>
  <w:style w:type="character" w:customStyle="1" w:styleId="FontStyle216">
    <w:name w:val="Font Style216"/>
    <w:rsid w:val="003439D5"/>
    <w:rPr>
      <w:rFonts w:ascii="Book Antiqua" w:hAnsi="Book Antiqua" w:cs="Book Antiqua"/>
      <w:b/>
      <w:bCs/>
      <w:sz w:val="18"/>
      <w:szCs w:val="18"/>
    </w:rPr>
  </w:style>
  <w:style w:type="character" w:customStyle="1" w:styleId="FontStyle220">
    <w:name w:val="Font Style220"/>
    <w:rsid w:val="003439D5"/>
    <w:rPr>
      <w:rFonts w:ascii="Book Antiqua" w:hAnsi="Book Antiqua" w:cs="Book Antiqua"/>
      <w:b/>
      <w:bCs/>
      <w:i/>
      <w:iCs/>
      <w:sz w:val="18"/>
      <w:szCs w:val="18"/>
    </w:rPr>
  </w:style>
  <w:style w:type="character" w:customStyle="1" w:styleId="FontStyle228">
    <w:name w:val="Font Style228"/>
    <w:rsid w:val="003439D5"/>
    <w:rPr>
      <w:rFonts w:ascii="Book Antiqua" w:hAnsi="Book Antiqua" w:cs="Book Antiqua"/>
      <w:sz w:val="18"/>
      <w:szCs w:val="18"/>
    </w:rPr>
  </w:style>
  <w:style w:type="character" w:customStyle="1" w:styleId="FontStyle230">
    <w:name w:val="Font Style230"/>
    <w:rsid w:val="003439D5"/>
    <w:rPr>
      <w:rFonts w:ascii="Arial Black" w:hAnsi="Arial Black" w:cs="Arial Black"/>
      <w:i/>
      <w:iCs/>
      <w:sz w:val="16"/>
      <w:szCs w:val="16"/>
    </w:rPr>
  </w:style>
  <w:style w:type="character" w:customStyle="1" w:styleId="FontStyle231">
    <w:name w:val="Font Style231"/>
    <w:rsid w:val="003439D5"/>
    <w:rPr>
      <w:rFonts w:ascii="Arial Black" w:hAnsi="Arial Black" w:cs="Arial Black"/>
      <w:sz w:val="18"/>
      <w:szCs w:val="18"/>
    </w:rPr>
  </w:style>
  <w:style w:type="paragraph" w:customStyle="1" w:styleId="Style27">
    <w:name w:val="Style27"/>
    <w:basedOn w:val="Normal"/>
    <w:rsid w:val="003439D5"/>
    <w:pPr>
      <w:widowControl w:val="0"/>
      <w:autoSpaceDE w:val="0"/>
      <w:autoSpaceDN w:val="0"/>
      <w:adjustRightInd w:val="0"/>
      <w:spacing w:line="262" w:lineRule="exact"/>
    </w:pPr>
    <w:rPr>
      <w:rFonts w:ascii="Arial" w:hAnsi="Arial"/>
    </w:rPr>
  </w:style>
  <w:style w:type="paragraph" w:customStyle="1" w:styleId="Style82">
    <w:name w:val="Style82"/>
    <w:basedOn w:val="Normal"/>
    <w:rsid w:val="003439D5"/>
    <w:pPr>
      <w:widowControl w:val="0"/>
      <w:autoSpaceDE w:val="0"/>
      <w:autoSpaceDN w:val="0"/>
      <w:adjustRightInd w:val="0"/>
      <w:jc w:val="both"/>
    </w:pPr>
    <w:rPr>
      <w:rFonts w:ascii="Arial" w:hAnsi="Arial"/>
    </w:rPr>
  </w:style>
  <w:style w:type="character" w:styleId="Strong">
    <w:name w:val="Strong"/>
    <w:uiPriority w:val="22"/>
    <w:qFormat/>
    <w:rsid w:val="003439D5"/>
    <w:rPr>
      <w:b/>
      <w:bCs/>
    </w:rPr>
  </w:style>
  <w:style w:type="paragraph" w:customStyle="1" w:styleId="PoulPar">
    <w:name w:val="PoulPar"/>
    <w:basedOn w:val="Normal"/>
    <w:rsid w:val="003439D5"/>
    <w:pPr>
      <w:spacing w:after="240" w:line="360" w:lineRule="auto"/>
      <w:jc w:val="both"/>
    </w:pPr>
    <w:rPr>
      <w:rFonts w:ascii="Lucida Sans Unicode" w:hAnsi="Lucida Sans Unicode"/>
      <w:sz w:val="22"/>
      <w:szCs w:val="20"/>
      <w:lang w:eastAsia="en-US"/>
    </w:rPr>
  </w:style>
  <w:style w:type="paragraph" w:styleId="BodyText2">
    <w:name w:val="Body Text 2"/>
    <w:basedOn w:val="Normal"/>
    <w:link w:val="BodyText2Char"/>
    <w:rsid w:val="003439D5"/>
    <w:pPr>
      <w:spacing w:after="120" w:line="480" w:lineRule="auto"/>
    </w:pPr>
    <w:rPr>
      <w:lang w:val="x-none" w:eastAsia="x-none"/>
    </w:rPr>
  </w:style>
  <w:style w:type="character" w:customStyle="1" w:styleId="BodyText2Char">
    <w:name w:val="Body Text 2 Char"/>
    <w:link w:val="BodyText2"/>
    <w:rsid w:val="003439D5"/>
    <w:rPr>
      <w:sz w:val="24"/>
      <w:szCs w:val="24"/>
    </w:rPr>
  </w:style>
  <w:style w:type="paragraph" w:customStyle="1" w:styleId="xl24">
    <w:name w:val="xl24"/>
    <w:basedOn w:val="Normal"/>
    <w:rsid w:val="003439D5"/>
    <w:pPr>
      <w:spacing w:before="100" w:beforeAutospacing="1" w:after="100" w:afterAutospacing="1"/>
    </w:pPr>
    <w:rPr>
      <w:rFonts w:eastAsia="Arial Unicode MS"/>
      <w:lang w:val="en-GB" w:eastAsia="en-US"/>
    </w:rPr>
  </w:style>
  <w:style w:type="paragraph" w:styleId="ListParagraph">
    <w:name w:val="List Paragraph"/>
    <w:basedOn w:val="Normal"/>
    <w:uiPriority w:val="34"/>
    <w:qFormat/>
    <w:rsid w:val="009A02C8"/>
    <w:pPr>
      <w:ind w:left="720"/>
    </w:pPr>
  </w:style>
  <w:style w:type="character" w:styleId="FollowedHyperlink">
    <w:name w:val="FollowedHyperlink"/>
    <w:uiPriority w:val="99"/>
    <w:semiHidden/>
    <w:unhideWhenUsed/>
    <w:rsid w:val="00B13433"/>
    <w:rPr>
      <w:color w:val="800080"/>
      <w:u w:val="single"/>
    </w:rPr>
  </w:style>
  <w:style w:type="character" w:customStyle="1" w:styleId="FooterChar">
    <w:name w:val="Footer Char"/>
    <w:link w:val="Footer"/>
    <w:rsid w:val="002902BB"/>
    <w:rPr>
      <w:sz w:val="24"/>
      <w:szCs w:val="24"/>
    </w:rPr>
  </w:style>
  <w:style w:type="character" w:customStyle="1" w:styleId="Heading8Char">
    <w:name w:val="Heading 8 Char"/>
    <w:link w:val="Heading8"/>
    <w:rsid w:val="00AE0E85"/>
    <w:rPr>
      <w:b/>
      <w:bCs/>
      <w:sz w:val="24"/>
      <w:u w:val="single"/>
    </w:rPr>
  </w:style>
  <w:style w:type="paragraph" w:styleId="Title">
    <w:name w:val="Title"/>
    <w:basedOn w:val="Normal"/>
    <w:link w:val="TitleChar"/>
    <w:qFormat/>
    <w:rsid w:val="00AE0E85"/>
    <w:pPr>
      <w:tabs>
        <w:tab w:val="left" w:pos="-720"/>
      </w:tabs>
      <w:suppressAutoHyphens/>
      <w:jc w:val="center"/>
    </w:pPr>
    <w:rPr>
      <w:b/>
      <w:spacing w:val="-2"/>
      <w:szCs w:val="20"/>
      <w:u w:val="single"/>
      <w:lang w:val="x-none" w:eastAsia="x-none"/>
    </w:rPr>
  </w:style>
  <w:style w:type="character" w:customStyle="1" w:styleId="TitleChar">
    <w:name w:val="Title Char"/>
    <w:link w:val="Title"/>
    <w:rsid w:val="00AE0E85"/>
    <w:rPr>
      <w:b/>
      <w:spacing w:val="-2"/>
      <w:sz w:val="24"/>
      <w:u w:val="single"/>
    </w:rPr>
  </w:style>
  <w:style w:type="paragraph" w:styleId="Subtitle">
    <w:name w:val="Subtitle"/>
    <w:basedOn w:val="Normal"/>
    <w:link w:val="SubtitleChar"/>
    <w:qFormat/>
    <w:rsid w:val="00AE0E85"/>
    <w:pPr>
      <w:tabs>
        <w:tab w:val="left" w:pos="-720"/>
      </w:tabs>
      <w:suppressAutoHyphens/>
      <w:jc w:val="center"/>
    </w:pPr>
    <w:rPr>
      <w:b/>
      <w:spacing w:val="-2"/>
      <w:szCs w:val="20"/>
      <w:u w:val="single"/>
      <w:lang w:val="x-none" w:eastAsia="x-none"/>
    </w:rPr>
  </w:style>
  <w:style w:type="character" w:customStyle="1" w:styleId="SubtitleChar">
    <w:name w:val="Subtitle Char"/>
    <w:link w:val="Subtitle"/>
    <w:rsid w:val="00AE0E85"/>
    <w:rPr>
      <w:b/>
      <w:spacing w:val="-2"/>
      <w:sz w:val="24"/>
      <w:u w:val="single"/>
    </w:rPr>
  </w:style>
  <w:style w:type="paragraph" w:customStyle="1" w:styleId="Subject">
    <w:name w:val="Subject"/>
    <w:basedOn w:val="Normal"/>
    <w:rsid w:val="006719F4"/>
    <w:pPr>
      <w:keepNext/>
      <w:keepLines/>
      <w:spacing w:line="290" w:lineRule="atLeast"/>
    </w:pPr>
    <w:rPr>
      <w:b/>
      <w:szCs w:val="20"/>
      <w:lang w:val="en-GB" w:eastAsia="en-US"/>
    </w:rPr>
  </w:style>
  <w:style w:type="character" w:customStyle="1" w:styleId="Heading2Char">
    <w:name w:val="Heading 2 Char"/>
    <w:link w:val="Heading2"/>
    <w:rsid w:val="00BE65F3"/>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151">
      <w:bodyDiv w:val="1"/>
      <w:marLeft w:val="0"/>
      <w:marRight w:val="0"/>
      <w:marTop w:val="0"/>
      <w:marBottom w:val="0"/>
      <w:divBdr>
        <w:top w:val="none" w:sz="0" w:space="0" w:color="auto"/>
        <w:left w:val="none" w:sz="0" w:space="0" w:color="auto"/>
        <w:bottom w:val="none" w:sz="0" w:space="0" w:color="auto"/>
        <w:right w:val="none" w:sz="0" w:space="0" w:color="auto"/>
      </w:divBdr>
    </w:div>
    <w:div w:id="12801170">
      <w:bodyDiv w:val="1"/>
      <w:marLeft w:val="0"/>
      <w:marRight w:val="0"/>
      <w:marTop w:val="0"/>
      <w:marBottom w:val="0"/>
      <w:divBdr>
        <w:top w:val="none" w:sz="0" w:space="0" w:color="auto"/>
        <w:left w:val="none" w:sz="0" w:space="0" w:color="auto"/>
        <w:bottom w:val="none" w:sz="0" w:space="0" w:color="auto"/>
        <w:right w:val="none" w:sz="0" w:space="0" w:color="auto"/>
      </w:divBdr>
    </w:div>
    <w:div w:id="13388254">
      <w:bodyDiv w:val="1"/>
      <w:marLeft w:val="0"/>
      <w:marRight w:val="0"/>
      <w:marTop w:val="0"/>
      <w:marBottom w:val="0"/>
      <w:divBdr>
        <w:top w:val="none" w:sz="0" w:space="0" w:color="auto"/>
        <w:left w:val="none" w:sz="0" w:space="0" w:color="auto"/>
        <w:bottom w:val="none" w:sz="0" w:space="0" w:color="auto"/>
        <w:right w:val="none" w:sz="0" w:space="0" w:color="auto"/>
      </w:divBdr>
    </w:div>
    <w:div w:id="14695849">
      <w:bodyDiv w:val="1"/>
      <w:marLeft w:val="0"/>
      <w:marRight w:val="0"/>
      <w:marTop w:val="0"/>
      <w:marBottom w:val="0"/>
      <w:divBdr>
        <w:top w:val="none" w:sz="0" w:space="0" w:color="auto"/>
        <w:left w:val="none" w:sz="0" w:space="0" w:color="auto"/>
        <w:bottom w:val="none" w:sz="0" w:space="0" w:color="auto"/>
        <w:right w:val="none" w:sz="0" w:space="0" w:color="auto"/>
      </w:divBdr>
    </w:div>
    <w:div w:id="14698395">
      <w:bodyDiv w:val="1"/>
      <w:marLeft w:val="0"/>
      <w:marRight w:val="0"/>
      <w:marTop w:val="0"/>
      <w:marBottom w:val="0"/>
      <w:divBdr>
        <w:top w:val="none" w:sz="0" w:space="0" w:color="auto"/>
        <w:left w:val="none" w:sz="0" w:space="0" w:color="auto"/>
        <w:bottom w:val="none" w:sz="0" w:space="0" w:color="auto"/>
        <w:right w:val="none" w:sz="0" w:space="0" w:color="auto"/>
      </w:divBdr>
    </w:div>
    <w:div w:id="22483649">
      <w:bodyDiv w:val="1"/>
      <w:marLeft w:val="0"/>
      <w:marRight w:val="0"/>
      <w:marTop w:val="0"/>
      <w:marBottom w:val="0"/>
      <w:divBdr>
        <w:top w:val="none" w:sz="0" w:space="0" w:color="auto"/>
        <w:left w:val="none" w:sz="0" w:space="0" w:color="auto"/>
        <w:bottom w:val="none" w:sz="0" w:space="0" w:color="auto"/>
        <w:right w:val="none" w:sz="0" w:space="0" w:color="auto"/>
      </w:divBdr>
    </w:div>
    <w:div w:id="25060200">
      <w:bodyDiv w:val="1"/>
      <w:marLeft w:val="0"/>
      <w:marRight w:val="0"/>
      <w:marTop w:val="0"/>
      <w:marBottom w:val="0"/>
      <w:divBdr>
        <w:top w:val="none" w:sz="0" w:space="0" w:color="auto"/>
        <w:left w:val="none" w:sz="0" w:space="0" w:color="auto"/>
        <w:bottom w:val="none" w:sz="0" w:space="0" w:color="auto"/>
        <w:right w:val="none" w:sz="0" w:space="0" w:color="auto"/>
      </w:divBdr>
    </w:div>
    <w:div w:id="25371485">
      <w:bodyDiv w:val="1"/>
      <w:marLeft w:val="0"/>
      <w:marRight w:val="0"/>
      <w:marTop w:val="0"/>
      <w:marBottom w:val="0"/>
      <w:divBdr>
        <w:top w:val="none" w:sz="0" w:space="0" w:color="auto"/>
        <w:left w:val="none" w:sz="0" w:space="0" w:color="auto"/>
        <w:bottom w:val="none" w:sz="0" w:space="0" w:color="auto"/>
        <w:right w:val="none" w:sz="0" w:space="0" w:color="auto"/>
      </w:divBdr>
    </w:div>
    <w:div w:id="26804320">
      <w:bodyDiv w:val="1"/>
      <w:marLeft w:val="0"/>
      <w:marRight w:val="0"/>
      <w:marTop w:val="0"/>
      <w:marBottom w:val="0"/>
      <w:divBdr>
        <w:top w:val="none" w:sz="0" w:space="0" w:color="auto"/>
        <w:left w:val="none" w:sz="0" w:space="0" w:color="auto"/>
        <w:bottom w:val="none" w:sz="0" w:space="0" w:color="auto"/>
        <w:right w:val="none" w:sz="0" w:space="0" w:color="auto"/>
      </w:divBdr>
    </w:div>
    <w:div w:id="37554737">
      <w:bodyDiv w:val="1"/>
      <w:marLeft w:val="0"/>
      <w:marRight w:val="0"/>
      <w:marTop w:val="0"/>
      <w:marBottom w:val="0"/>
      <w:divBdr>
        <w:top w:val="none" w:sz="0" w:space="0" w:color="auto"/>
        <w:left w:val="none" w:sz="0" w:space="0" w:color="auto"/>
        <w:bottom w:val="none" w:sz="0" w:space="0" w:color="auto"/>
        <w:right w:val="none" w:sz="0" w:space="0" w:color="auto"/>
      </w:divBdr>
    </w:div>
    <w:div w:id="38822696">
      <w:bodyDiv w:val="1"/>
      <w:marLeft w:val="0"/>
      <w:marRight w:val="0"/>
      <w:marTop w:val="0"/>
      <w:marBottom w:val="0"/>
      <w:divBdr>
        <w:top w:val="none" w:sz="0" w:space="0" w:color="auto"/>
        <w:left w:val="none" w:sz="0" w:space="0" w:color="auto"/>
        <w:bottom w:val="none" w:sz="0" w:space="0" w:color="auto"/>
        <w:right w:val="none" w:sz="0" w:space="0" w:color="auto"/>
      </w:divBdr>
    </w:div>
    <w:div w:id="40716993">
      <w:bodyDiv w:val="1"/>
      <w:marLeft w:val="0"/>
      <w:marRight w:val="0"/>
      <w:marTop w:val="0"/>
      <w:marBottom w:val="0"/>
      <w:divBdr>
        <w:top w:val="none" w:sz="0" w:space="0" w:color="auto"/>
        <w:left w:val="none" w:sz="0" w:space="0" w:color="auto"/>
        <w:bottom w:val="none" w:sz="0" w:space="0" w:color="auto"/>
        <w:right w:val="none" w:sz="0" w:space="0" w:color="auto"/>
      </w:divBdr>
    </w:div>
    <w:div w:id="42296984">
      <w:bodyDiv w:val="1"/>
      <w:marLeft w:val="0"/>
      <w:marRight w:val="0"/>
      <w:marTop w:val="0"/>
      <w:marBottom w:val="0"/>
      <w:divBdr>
        <w:top w:val="none" w:sz="0" w:space="0" w:color="auto"/>
        <w:left w:val="none" w:sz="0" w:space="0" w:color="auto"/>
        <w:bottom w:val="none" w:sz="0" w:space="0" w:color="auto"/>
        <w:right w:val="none" w:sz="0" w:space="0" w:color="auto"/>
      </w:divBdr>
    </w:div>
    <w:div w:id="42483345">
      <w:bodyDiv w:val="1"/>
      <w:marLeft w:val="0"/>
      <w:marRight w:val="0"/>
      <w:marTop w:val="0"/>
      <w:marBottom w:val="0"/>
      <w:divBdr>
        <w:top w:val="none" w:sz="0" w:space="0" w:color="auto"/>
        <w:left w:val="none" w:sz="0" w:space="0" w:color="auto"/>
        <w:bottom w:val="none" w:sz="0" w:space="0" w:color="auto"/>
        <w:right w:val="none" w:sz="0" w:space="0" w:color="auto"/>
      </w:divBdr>
    </w:div>
    <w:div w:id="51083363">
      <w:bodyDiv w:val="1"/>
      <w:marLeft w:val="0"/>
      <w:marRight w:val="0"/>
      <w:marTop w:val="0"/>
      <w:marBottom w:val="0"/>
      <w:divBdr>
        <w:top w:val="none" w:sz="0" w:space="0" w:color="auto"/>
        <w:left w:val="none" w:sz="0" w:space="0" w:color="auto"/>
        <w:bottom w:val="none" w:sz="0" w:space="0" w:color="auto"/>
        <w:right w:val="none" w:sz="0" w:space="0" w:color="auto"/>
      </w:divBdr>
    </w:div>
    <w:div w:id="53087216">
      <w:bodyDiv w:val="1"/>
      <w:marLeft w:val="0"/>
      <w:marRight w:val="0"/>
      <w:marTop w:val="0"/>
      <w:marBottom w:val="0"/>
      <w:divBdr>
        <w:top w:val="none" w:sz="0" w:space="0" w:color="auto"/>
        <w:left w:val="none" w:sz="0" w:space="0" w:color="auto"/>
        <w:bottom w:val="none" w:sz="0" w:space="0" w:color="auto"/>
        <w:right w:val="none" w:sz="0" w:space="0" w:color="auto"/>
      </w:divBdr>
    </w:div>
    <w:div w:id="56322232">
      <w:bodyDiv w:val="1"/>
      <w:marLeft w:val="0"/>
      <w:marRight w:val="0"/>
      <w:marTop w:val="0"/>
      <w:marBottom w:val="0"/>
      <w:divBdr>
        <w:top w:val="none" w:sz="0" w:space="0" w:color="auto"/>
        <w:left w:val="none" w:sz="0" w:space="0" w:color="auto"/>
        <w:bottom w:val="none" w:sz="0" w:space="0" w:color="auto"/>
        <w:right w:val="none" w:sz="0" w:space="0" w:color="auto"/>
      </w:divBdr>
    </w:div>
    <w:div w:id="56782642">
      <w:bodyDiv w:val="1"/>
      <w:marLeft w:val="0"/>
      <w:marRight w:val="0"/>
      <w:marTop w:val="0"/>
      <w:marBottom w:val="0"/>
      <w:divBdr>
        <w:top w:val="none" w:sz="0" w:space="0" w:color="auto"/>
        <w:left w:val="none" w:sz="0" w:space="0" w:color="auto"/>
        <w:bottom w:val="none" w:sz="0" w:space="0" w:color="auto"/>
        <w:right w:val="none" w:sz="0" w:space="0" w:color="auto"/>
      </w:divBdr>
    </w:div>
    <w:div w:id="59603156">
      <w:bodyDiv w:val="1"/>
      <w:marLeft w:val="0"/>
      <w:marRight w:val="0"/>
      <w:marTop w:val="0"/>
      <w:marBottom w:val="0"/>
      <w:divBdr>
        <w:top w:val="none" w:sz="0" w:space="0" w:color="auto"/>
        <w:left w:val="none" w:sz="0" w:space="0" w:color="auto"/>
        <w:bottom w:val="none" w:sz="0" w:space="0" w:color="auto"/>
        <w:right w:val="none" w:sz="0" w:space="0" w:color="auto"/>
      </w:divBdr>
    </w:div>
    <w:div w:id="62799421">
      <w:bodyDiv w:val="1"/>
      <w:marLeft w:val="0"/>
      <w:marRight w:val="0"/>
      <w:marTop w:val="0"/>
      <w:marBottom w:val="0"/>
      <w:divBdr>
        <w:top w:val="none" w:sz="0" w:space="0" w:color="auto"/>
        <w:left w:val="none" w:sz="0" w:space="0" w:color="auto"/>
        <w:bottom w:val="none" w:sz="0" w:space="0" w:color="auto"/>
        <w:right w:val="none" w:sz="0" w:space="0" w:color="auto"/>
      </w:divBdr>
    </w:div>
    <w:div w:id="63994787">
      <w:bodyDiv w:val="1"/>
      <w:marLeft w:val="0"/>
      <w:marRight w:val="0"/>
      <w:marTop w:val="0"/>
      <w:marBottom w:val="0"/>
      <w:divBdr>
        <w:top w:val="none" w:sz="0" w:space="0" w:color="auto"/>
        <w:left w:val="none" w:sz="0" w:space="0" w:color="auto"/>
        <w:bottom w:val="none" w:sz="0" w:space="0" w:color="auto"/>
        <w:right w:val="none" w:sz="0" w:space="0" w:color="auto"/>
      </w:divBdr>
    </w:div>
    <w:div w:id="64495383">
      <w:bodyDiv w:val="1"/>
      <w:marLeft w:val="0"/>
      <w:marRight w:val="0"/>
      <w:marTop w:val="0"/>
      <w:marBottom w:val="0"/>
      <w:divBdr>
        <w:top w:val="none" w:sz="0" w:space="0" w:color="auto"/>
        <w:left w:val="none" w:sz="0" w:space="0" w:color="auto"/>
        <w:bottom w:val="none" w:sz="0" w:space="0" w:color="auto"/>
        <w:right w:val="none" w:sz="0" w:space="0" w:color="auto"/>
      </w:divBdr>
    </w:div>
    <w:div w:id="66273736">
      <w:bodyDiv w:val="1"/>
      <w:marLeft w:val="0"/>
      <w:marRight w:val="0"/>
      <w:marTop w:val="0"/>
      <w:marBottom w:val="0"/>
      <w:divBdr>
        <w:top w:val="none" w:sz="0" w:space="0" w:color="auto"/>
        <w:left w:val="none" w:sz="0" w:space="0" w:color="auto"/>
        <w:bottom w:val="none" w:sz="0" w:space="0" w:color="auto"/>
        <w:right w:val="none" w:sz="0" w:space="0" w:color="auto"/>
      </w:divBdr>
    </w:div>
    <w:div w:id="78068365">
      <w:bodyDiv w:val="1"/>
      <w:marLeft w:val="0"/>
      <w:marRight w:val="0"/>
      <w:marTop w:val="0"/>
      <w:marBottom w:val="0"/>
      <w:divBdr>
        <w:top w:val="none" w:sz="0" w:space="0" w:color="auto"/>
        <w:left w:val="none" w:sz="0" w:space="0" w:color="auto"/>
        <w:bottom w:val="none" w:sz="0" w:space="0" w:color="auto"/>
        <w:right w:val="none" w:sz="0" w:space="0" w:color="auto"/>
      </w:divBdr>
    </w:div>
    <w:div w:id="79719726">
      <w:bodyDiv w:val="1"/>
      <w:marLeft w:val="0"/>
      <w:marRight w:val="0"/>
      <w:marTop w:val="0"/>
      <w:marBottom w:val="0"/>
      <w:divBdr>
        <w:top w:val="none" w:sz="0" w:space="0" w:color="auto"/>
        <w:left w:val="none" w:sz="0" w:space="0" w:color="auto"/>
        <w:bottom w:val="none" w:sz="0" w:space="0" w:color="auto"/>
        <w:right w:val="none" w:sz="0" w:space="0" w:color="auto"/>
      </w:divBdr>
    </w:div>
    <w:div w:id="84689194">
      <w:bodyDiv w:val="1"/>
      <w:marLeft w:val="0"/>
      <w:marRight w:val="0"/>
      <w:marTop w:val="0"/>
      <w:marBottom w:val="0"/>
      <w:divBdr>
        <w:top w:val="none" w:sz="0" w:space="0" w:color="auto"/>
        <w:left w:val="none" w:sz="0" w:space="0" w:color="auto"/>
        <w:bottom w:val="none" w:sz="0" w:space="0" w:color="auto"/>
        <w:right w:val="none" w:sz="0" w:space="0" w:color="auto"/>
      </w:divBdr>
    </w:div>
    <w:div w:id="86081422">
      <w:bodyDiv w:val="1"/>
      <w:marLeft w:val="0"/>
      <w:marRight w:val="0"/>
      <w:marTop w:val="0"/>
      <w:marBottom w:val="0"/>
      <w:divBdr>
        <w:top w:val="none" w:sz="0" w:space="0" w:color="auto"/>
        <w:left w:val="none" w:sz="0" w:space="0" w:color="auto"/>
        <w:bottom w:val="none" w:sz="0" w:space="0" w:color="auto"/>
        <w:right w:val="none" w:sz="0" w:space="0" w:color="auto"/>
      </w:divBdr>
    </w:div>
    <w:div w:id="86270050">
      <w:bodyDiv w:val="1"/>
      <w:marLeft w:val="0"/>
      <w:marRight w:val="0"/>
      <w:marTop w:val="0"/>
      <w:marBottom w:val="0"/>
      <w:divBdr>
        <w:top w:val="none" w:sz="0" w:space="0" w:color="auto"/>
        <w:left w:val="none" w:sz="0" w:space="0" w:color="auto"/>
        <w:bottom w:val="none" w:sz="0" w:space="0" w:color="auto"/>
        <w:right w:val="none" w:sz="0" w:space="0" w:color="auto"/>
      </w:divBdr>
    </w:div>
    <w:div w:id="89981040">
      <w:bodyDiv w:val="1"/>
      <w:marLeft w:val="0"/>
      <w:marRight w:val="0"/>
      <w:marTop w:val="0"/>
      <w:marBottom w:val="0"/>
      <w:divBdr>
        <w:top w:val="none" w:sz="0" w:space="0" w:color="auto"/>
        <w:left w:val="none" w:sz="0" w:space="0" w:color="auto"/>
        <w:bottom w:val="none" w:sz="0" w:space="0" w:color="auto"/>
        <w:right w:val="none" w:sz="0" w:space="0" w:color="auto"/>
      </w:divBdr>
    </w:div>
    <w:div w:id="97992737">
      <w:bodyDiv w:val="1"/>
      <w:marLeft w:val="0"/>
      <w:marRight w:val="0"/>
      <w:marTop w:val="0"/>
      <w:marBottom w:val="0"/>
      <w:divBdr>
        <w:top w:val="none" w:sz="0" w:space="0" w:color="auto"/>
        <w:left w:val="none" w:sz="0" w:space="0" w:color="auto"/>
        <w:bottom w:val="none" w:sz="0" w:space="0" w:color="auto"/>
        <w:right w:val="none" w:sz="0" w:space="0" w:color="auto"/>
      </w:divBdr>
    </w:div>
    <w:div w:id="98373797">
      <w:bodyDiv w:val="1"/>
      <w:marLeft w:val="0"/>
      <w:marRight w:val="0"/>
      <w:marTop w:val="0"/>
      <w:marBottom w:val="0"/>
      <w:divBdr>
        <w:top w:val="none" w:sz="0" w:space="0" w:color="auto"/>
        <w:left w:val="none" w:sz="0" w:space="0" w:color="auto"/>
        <w:bottom w:val="none" w:sz="0" w:space="0" w:color="auto"/>
        <w:right w:val="none" w:sz="0" w:space="0" w:color="auto"/>
      </w:divBdr>
    </w:div>
    <w:div w:id="102458002">
      <w:bodyDiv w:val="1"/>
      <w:marLeft w:val="0"/>
      <w:marRight w:val="0"/>
      <w:marTop w:val="0"/>
      <w:marBottom w:val="0"/>
      <w:divBdr>
        <w:top w:val="none" w:sz="0" w:space="0" w:color="auto"/>
        <w:left w:val="none" w:sz="0" w:space="0" w:color="auto"/>
        <w:bottom w:val="none" w:sz="0" w:space="0" w:color="auto"/>
        <w:right w:val="none" w:sz="0" w:space="0" w:color="auto"/>
      </w:divBdr>
    </w:div>
    <w:div w:id="109054604">
      <w:bodyDiv w:val="1"/>
      <w:marLeft w:val="0"/>
      <w:marRight w:val="0"/>
      <w:marTop w:val="0"/>
      <w:marBottom w:val="0"/>
      <w:divBdr>
        <w:top w:val="none" w:sz="0" w:space="0" w:color="auto"/>
        <w:left w:val="none" w:sz="0" w:space="0" w:color="auto"/>
        <w:bottom w:val="none" w:sz="0" w:space="0" w:color="auto"/>
        <w:right w:val="none" w:sz="0" w:space="0" w:color="auto"/>
      </w:divBdr>
    </w:div>
    <w:div w:id="127289577">
      <w:bodyDiv w:val="1"/>
      <w:marLeft w:val="0"/>
      <w:marRight w:val="0"/>
      <w:marTop w:val="0"/>
      <w:marBottom w:val="0"/>
      <w:divBdr>
        <w:top w:val="none" w:sz="0" w:space="0" w:color="auto"/>
        <w:left w:val="none" w:sz="0" w:space="0" w:color="auto"/>
        <w:bottom w:val="none" w:sz="0" w:space="0" w:color="auto"/>
        <w:right w:val="none" w:sz="0" w:space="0" w:color="auto"/>
      </w:divBdr>
    </w:div>
    <w:div w:id="141512018">
      <w:bodyDiv w:val="1"/>
      <w:marLeft w:val="0"/>
      <w:marRight w:val="0"/>
      <w:marTop w:val="0"/>
      <w:marBottom w:val="0"/>
      <w:divBdr>
        <w:top w:val="none" w:sz="0" w:space="0" w:color="auto"/>
        <w:left w:val="none" w:sz="0" w:space="0" w:color="auto"/>
        <w:bottom w:val="none" w:sz="0" w:space="0" w:color="auto"/>
        <w:right w:val="none" w:sz="0" w:space="0" w:color="auto"/>
      </w:divBdr>
    </w:div>
    <w:div w:id="143475665">
      <w:bodyDiv w:val="1"/>
      <w:marLeft w:val="0"/>
      <w:marRight w:val="0"/>
      <w:marTop w:val="0"/>
      <w:marBottom w:val="0"/>
      <w:divBdr>
        <w:top w:val="none" w:sz="0" w:space="0" w:color="auto"/>
        <w:left w:val="none" w:sz="0" w:space="0" w:color="auto"/>
        <w:bottom w:val="none" w:sz="0" w:space="0" w:color="auto"/>
        <w:right w:val="none" w:sz="0" w:space="0" w:color="auto"/>
      </w:divBdr>
    </w:div>
    <w:div w:id="144710992">
      <w:bodyDiv w:val="1"/>
      <w:marLeft w:val="0"/>
      <w:marRight w:val="0"/>
      <w:marTop w:val="0"/>
      <w:marBottom w:val="0"/>
      <w:divBdr>
        <w:top w:val="none" w:sz="0" w:space="0" w:color="auto"/>
        <w:left w:val="none" w:sz="0" w:space="0" w:color="auto"/>
        <w:bottom w:val="none" w:sz="0" w:space="0" w:color="auto"/>
        <w:right w:val="none" w:sz="0" w:space="0" w:color="auto"/>
      </w:divBdr>
    </w:div>
    <w:div w:id="145322555">
      <w:bodyDiv w:val="1"/>
      <w:marLeft w:val="0"/>
      <w:marRight w:val="0"/>
      <w:marTop w:val="0"/>
      <w:marBottom w:val="0"/>
      <w:divBdr>
        <w:top w:val="none" w:sz="0" w:space="0" w:color="auto"/>
        <w:left w:val="none" w:sz="0" w:space="0" w:color="auto"/>
        <w:bottom w:val="none" w:sz="0" w:space="0" w:color="auto"/>
        <w:right w:val="none" w:sz="0" w:space="0" w:color="auto"/>
      </w:divBdr>
    </w:div>
    <w:div w:id="145630461">
      <w:bodyDiv w:val="1"/>
      <w:marLeft w:val="0"/>
      <w:marRight w:val="0"/>
      <w:marTop w:val="0"/>
      <w:marBottom w:val="0"/>
      <w:divBdr>
        <w:top w:val="none" w:sz="0" w:space="0" w:color="auto"/>
        <w:left w:val="none" w:sz="0" w:space="0" w:color="auto"/>
        <w:bottom w:val="none" w:sz="0" w:space="0" w:color="auto"/>
        <w:right w:val="none" w:sz="0" w:space="0" w:color="auto"/>
      </w:divBdr>
    </w:div>
    <w:div w:id="146895583">
      <w:bodyDiv w:val="1"/>
      <w:marLeft w:val="0"/>
      <w:marRight w:val="0"/>
      <w:marTop w:val="0"/>
      <w:marBottom w:val="0"/>
      <w:divBdr>
        <w:top w:val="none" w:sz="0" w:space="0" w:color="auto"/>
        <w:left w:val="none" w:sz="0" w:space="0" w:color="auto"/>
        <w:bottom w:val="none" w:sz="0" w:space="0" w:color="auto"/>
        <w:right w:val="none" w:sz="0" w:space="0" w:color="auto"/>
      </w:divBdr>
    </w:div>
    <w:div w:id="161556302">
      <w:bodyDiv w:val="1"/>
      <w:marLeft w:val="0"/>
      <w:marRight w:val="0"/>
      <w:marTop w:val="0"/>
      <w:marBottom w:val="0"/>
      <w:divBdr>
        <w:top w:val="none" w:sz="0" w:space="0" w:color="auto"/>
        <w:left w:val="none" w:sz="0" w:space="0" w:color="auto"/>
        <w:bottom w:val="none" w:sz="0" w:space="0" w:color="auto"/>
        <w:right w:val="none" w:sz="0" w:space="0" w:color="auto"/>
      </w:divBdr>
    </w:div>
    <w:div w:id="166288002">
      <w:bodyDiv w:val="1"/>
      <w:marLeft w:val="0"/>
      <w:marRight w:val="0"/>
      <w:marTop w:val="0"/>
      <w:marBottom w:val="0"/>
      <w:divBdr>
        <w:top w:val="none" w:sz="0" w:space="0" w:color="auto"/>
        <w:left w:val="none" w:sz="0" w:space="0" w:color="auto"/>
        <w:bottom w:val="none" w:sz="0" w:space="0" w:color="auto"/>
        <w:right w:val="none" w:sz="0" w:space="0" w:color="auto"/>
      </w:divBdr>
    </w:div>
    <w:div w:id="178470236">
      <w:bodyDiv w:val="1"/>
      <w:marLeft w:val="0"/>
      <w:marRight w:val="0"/>
      <w:marTop w:val="0"/>
      <w:marBottom w:val="0"/>
      <w:divBdr>
        <w:top w:val="none" w:sz="0" w:space="0" w:color="auto"/>
        <w:left w:val="none" w:sz="0" w:space="0" w:color="auto"/>
        <w:bottom w:val="none" w:sz="0" w:space="0" w:color="auto"/>
        <w:right w:val="none" w:sz="0" w:space="0" w:color="auto"/>
      </w:divBdr>
    </w:div>
    <w:div w:id="182207775">
      <w:bodyDiv w:val="1"/>
      <w:marLeft w:val="0"/>
      <w:marRight w:val="0"/>
      <w:marTop w:val="0"/>
      <w:marBottom w:val="0"/>
      <w:divBdr>
        <w:top w:val="none" w:sz="0" w:space="0" w:color="auto"/>
        <w:left w:val="none" w:sz="0" w:space="0" w:color="auto"/>
        <w:bottom w:val="none" w:sz="0" w:space="0" w:color="auto"/>
        <w:right w:val="none" w:sz="0" w:space="0" w:color="auto"/>
      </w:divBdr>
    </w:div>
    <w:div w:id="192697398">
      <w:bodyDiv w:val="1"/>
      <w:marLeft w:val="0"/>
      <w:marRight w:val="0"/>
      <w:marTop w:val="0"/>
      <w:marBottom w:val="0"/>
      <w:divBdr>
        <w:top w:val="none" w:sz="0" w:space="0" w:color="auto"/>
        <w:left w:val="none" w:sz="0" w:space="0" w:color="auto"/>
        <w:bottom w:val="none" w:sz="0" w:space="0" w:color="auto"/>
        <w:right w:val="none" w:sz="0" w:space="0" w:color="auto"/>
      </w:divBdr>
    </w:div>
    <w:div w:id="202643088">
      <w:bodyDiv w:val="1"/>
      <w:marLeft w:val="0"/>
      <w:marRight w:val="0"/>
      <w:marTop w:val="0"/>
      <w:marBottom w:val="0"/>
      <w:divBdr>
        <w:top w:val="none" w:sz="0" w:space="0" w:color="auto"/>
        <w:left w:val="none" w:sz="0" w:space="0" w:color="auto"/>
        <w:bottom w:val="none" w:sz="0" w:space="0" w:color="auto"/>
        <w:right w:val="none" w:sz="0" w:space="0" w:color="auto"/>
      </w:divBdr>
    </w:div>
    <w:div w:id="205411956">
      <w:bodyDiv w:val="1"/>
      <w:marLeft w:val="0"/>
      <w:marRight w:val="0"/>
      <w:marTop w:val="0"/>
      <w:marBottom w:val="0"/>
      <w:divBdr>
        <w:top w:val="none" w:sz="0" w:space="0" w:color="auto"/>
        <w:left w:val="none" w:sz="0" w:space="0" w:color="auto"/>
        <w:bottom w:val="none" w:sz="0" w:space="0" w:color="auto"/>
        <w:right w:val="none" w:sz="0" w:space="0" w:color="auto"/>
      </w:divBdr>
    </w:div>
    <w:div w:id="206721377">
      <w:bodyDiv w:val="1"/>
      <w:marLeft w:val="0"/>
      <w:marRight w:val="0"/>
      <w:marTop w:val="0"/>
      <w:marBottom w:val="0"/>
      <w:divBdr>
        <w:top w:val="none" w:sz="0" w:space="0" w:color="auto"/>
        <w:left w:val="none" w:sz="0" w:space="0" w:color="auto"/>
        <w:bottom w:val="none" w:sz="0" w:space="0" w:color="auto"/>
        <w:right w:val="none" w:sz="0" w:space="0" w:color="auto"/>
      </w:divBdr>
    </w:div>
    <w:div w:id="207185126">
      <w:bodyDiv w:val="1"/>
      <w:marLeft w:val="0"/>
      <w:marRight w:val="0"/>
      <w:marTop w:val="0"/>
      <w:marBottom w:val="0"/>
      <w:divBdr>
        <w:top w:val="none" w:sz="0" w:space="0" w:color="auto"/>
        <w:left w:val="none" w:sz="0" w:space="0" w:color="auto"/>
        <w:bottom w:val="none" w:sz="0" w:space="0" w:color="auto"/>
        <w:right w:val="none" w:sz="0" w:space="0" w:color="auto"/>
      </w:divBdr>
    </w:div>
    <w:div w:id="208880688">
      <w:bodyDiv w:val="1"/>
      <w:marLeft w:val="0"/>
      <w:marRight w:val="0"/>
      <w:marTop w:val="0"/>
      <w:marBottom w:val="0"/>
      <w:divBdr>
        <w:top w:val="none" w:sz="0" w:space="0" w:color="auto"/>
        <w:left w:val="none" w:sz="0" w:space="0" w:color="auto"/>
        <w:bottom w:val="none" w:sz="0" w:space="0" w:color="auto"/>
        <w:right w:val="none" w:sz="0" w:space="0" w:color="auto"/>
      </w:divBdr>
    </w:div>
    <w:div w:id="212888498">
      <w:bodyDiv w:val="1"/>
      <w:marLeft w:val="0"/>
      <w:marRight w:val="0"/>
      <w:marTop w:val="0"/>
      <w:marBottom w:val="0"/>
      <w:divBdr>
        <w:top w:val="none" w:sz="0" w:space="0" w:color="auto"/>
        <w:left w:val="none" w:sz="0" w:space="0" w:color="auto"/>
        <w:bottom w:val="none" w:sz="0" w:space="0" w:color="auto"/>
        <w:right w:val="none" w:sz="0" w:space="0" w:color="auto"/>
      </w:divBdr>
    </w:div>
    <w:div w:id="224992964">
      <w:bodyDiv w:val="1"/>
      <w:marLeft w:val="0"/>
      <w:marRight w:val="0"/>
      <w:marTop w:val="0"/>
      <w:marBottom w:val="0"/>
      <w:divBdr>
        <w:top w:val="none" w:sz="0" w:space="0" w:color="auto"/>
        <w:left w:val="none" w:sz="0" w:space="0" w:color="auto"/>
        <w:bottom w:val="none" w:sz="0" w:space="0" w:color="auto"/>
        <w:right w:val="none" w:sz="0" w:space="0" w:color="auto"/>
      </w:divBdr>
    </w:div>
    <w:div w:id="228266798">
      <w:bodyDiv w:val="1"/>
      <w:marLeft w:val="0"/>
      <w:marRight w:val="0"/>
      <w:marTop w:val="0"/>
      <w:marBottom w:val="0"/>
      <w:divBdr>
        <w:top w:val="none" w:sz="0" w:space="0" w:color="auto"/>
        <w:left w:val="none" w:sz="0" w:space="0" w:color="auto"/>
        <w:bottom w:val="none" w:sz="0" w:space="0" w:color="auto"/>
        <w:right w:val="none" w:sz="0" w:space="0" w:color="auto"/>
      </w:divBdr>
    </w:div>
    <w:div w:id="236205725">
      <w:bodyDiv w:val="1"/>
      <w:marLeft w:val="0"/>
      <w:marRight w:val="0"/>
      <w:marTop w:val="0"/>
      <w:marBottom w:val="0"/>
      <w:divBdr>
        <w:top w:val="none" w:sz="0" w:space="0" w:color="auto"/>
        <w:left w:val="none" w:sz="0" w:space="0" w:color="auto"/>
        <w:bottom w:val="none" w:sz="0" w:space="0" w:color="auto"/>
        <w:right w:val="none" w:sz="0" w:space="0" w:color="auto"/>
      </w:divBdr>
    </w:div>
    <w:div w:id="237174817">
      <w:bodyDiv w:val="1"/>
      <w:marLeft w:val="0"/>
      <w:marRight w:val="0"/>
      <w:marTop w:val="0"/>
      <w:marBottom w:val="0"/>
      <w:divBdr>
        <w:top w:val="none" w:sz="0" w:space="0" w:color="auto"/>
        <w:left w:val="none" w:sz="0" w:space="0" w:color="auto"/>
        <w:bottom w:val="none" w:sz="0" w:space="0" w:color="auto"/>
        <w:right w:val="none" w:sz="0" w:space="0" w:color="auto"/>
      </w:divBdr>
    </w:div>
    <w:div w:id="242690536">
      <w:bodyDiv w:val="1"/>
      <w:marLeft w:val="0"/>
      <w:marRight w:val="0"/>
      <w:marTop w:val="0"/>
      <w:marBottom w:val="0"/>
      <w:divBdr>
        <w:top w:val="none" w:sz="0" w:space="0" w:color="auto"/>
        <w:left w:val="none" w:sz="0" w:space="0" w:color="auto"/>
        <w:bottom w:val="none" w:sz="0" w:space="0" w:color="auto"/>
        <w:right w:val="none" w:sz="0" w:space="0" w:color="auto"/>
      </w:divBdr>
    </w:div>
    <w:div w:id="243683344">
      <w:bodyDiv w:val="1"/>
      <w:marLeft w:val="0"/>
      <w:marRight w:val="0"/>
      <w:marTop w:val="0"/>
      <w:marBottom w:val="0"/>
      <w:divBdr>
        <w:top w:val="none" w:sz="0" w:space="0" w:color="auto"/>
        <w:left w:val="none" w:sz="0" w:space="0" w:color="auto"/>
        <w:bottom w:val="none" w:sz="0" w:space="0" w:color="auto"/>
        <w:right w:val="none" w:sz="0" w:space="0" w:color="auto"/>
      </w:divBdr>
    </w:div>
    <w:div w:id="243686233">
      <w:bodyDiv w:val="1"/>
      <w:marLeft w:val="0"/>
      <w:marRight w:val="0"/>
      <w:marTop w:val="0"/>
      <w:marBottom w:val="0"/>
      <w:divBdr>
        <w:top w:val="none" w:sz="0" w:space="0" w:color="auto"/>
        <w:left w:val="none" w:sz="0" w:space="0" w:color="auto"/>
        <w:bottom w:val="none" w:sz="0" w:space="0" w:color="auto"/>
        <w:right w:val="none" w:sz="0" w:space="0" w:color="auto"/>
      </w:divBdr>
    </w:div>
    <w:div w:id="244925374">
      <w:bodyDiv w:val="1"/>
      <w:marLeft w:val="0"/>
      <w:marRight w:val="0"/>
      <w:marTop w:val="0"/>
      <w:marBottom w:val="0"/>
      <w:divBdr>
        <w:top w:val="none" w:sz="0" w:space="0" w:color="auto"/>
        <w:left w:val="none" w:sz="0" w:space="0" w:color="auto"/>
        <w:bottom w:val="none" w:sz="0" w:space="0" w:color="auto"/>
        <w:right w:val="none" w:sz="0" w:space="0" w:color="auto"/>
      </w:divBdr>
    </w:div>
    <w:div w:id="245380246">
      <w:bodyDiv w:val="1"/>
      <w:marLeft w:val="0"/>
      <w:marRight w:val="0"/>
      <w:marTop w:val="0"/>
      <w:marBottom w:val="0"/>
      <w:divBdr>
        <w:top w:val="none" w:sz="0" w:space="0" w:color="auto"/>
        <w:left w:val="none" w:sz="0" w:space="0" w:color="auto"/>
        <w:bottom w:val="none" w:sz="0" w:space="0" w:color="auto"/>
        <w:right w:val="none" w:sz="0" w:space="0" w:color="auto"/>
      </w:divBdr>
    </w:div>
    <w:div w:id="248465610">
      <w:bodyDiv w:val="1"/>
      <w:marLeft w:val="0"/>
      <w:marRight w:val="0"/>
      <w:marTop w:val="0"/>
      <w:marBottom w:val="0"/>
      <w:divBdr>
        <w:top w:val="none" w:sz="0" w:space="0" w:color="auto"/>
        <w:left w:val="none" w:sz="0" w:space="0" w:color="auto"/>
        <w:bottom w:val="none" w:sz="0" w:space="0" w:color="auto"/>
        <w:right w:val="none" w:sz="0" w:space="0" w:color="auto"/>
      </w:divBdr>
    </w:div>
    <w:div w:id="251164932">
      <w:bodyDiv w:val="1"/>
      <w:marLeft w:val="0"/>
      <w:marRight w:val="0"/>
      <w:marTop w:val="0"/>
      <w:marBottom w:val="0"/>
      <w:divBdr>
        <w:top w:val="none" w:sz="0" w:space="0" w:color="auto"/>
        <w:left w:val="none" w:sz="0" w:space="0" w:color="auto"/>
        <w:bottom w:val="none" w:sz="0" w:space="0" w:color="auto"/>
        <w:right w:val="none" w:sz="0" w:space="0" w:color="auto"/>
      </w:divBdr>
    </w:div>
    <w:div w:id="251279140">
      <w:bodyDiv w:val="1"/>
      <w:marLeft w:val="0"/>
      <w:marRight w:val="0"/>
      <w:marTop w:val="0"/>
      <w:marBottom w:val="0"/>
      <w:divBdr>
        <w:top w:val="none" w:sz="0" w:space="0" w:color="auto"/>
        <w:left w:val="none" w:sz="0" w:space="0" w:color="auto"/>
        <w:bottom w:val="none" w:sz="0" w:space="0" w:color="auto"/>
        <w:right w:val="none" w:sz="0" w:space="0" w:color="auto"/>
      </w:divBdr>
    </w:div>
    <w:div w:id="252665737">
      <w:bodyDiv w:val="1"/>
      <w:marLeft w:val="0"/>
      <w:marRight w:val="0"/>
      <w:marTop w:val="0"/>
      <w:marBottom w:val="0"/>
      <w:divBdr>
        <w:top w:val="none" w:sz="0" w:space="0" w:color="auto"/>
        <w:left w:val="none" w:sz="0" w:space="0" w:color="auto"/>
        <w:bottom w:val="none" w:sz="0" w:space="0" w:color="auto"/>
        <w:right w:val="none" w:sz="0" w:space="0" w:color="auto"/>
      </w:divBdr>
    </w:div>
    <w:div w:id="256180442">
      <w:bodyDiv w:val="1"/>
      <w:marLeft w:val="0"/>
      <w:marRight w:val="0"/>
      <w:marTop w:val="0"/>
      <w:marBottom w:val="0"/>
      <w:divBdr>
        <w:top w:val="none" w:sz="0" w:space="0" w:color="auto"/>
        <w:left w:val="none" w:sz="0" w:space="0" w:color="auto"/>
        <w:bottom w:val="none" w:sz="0" w:space="0" w:color="auto"/>
        <w:right w:val="none" w:sz="0" w:space="0" w:color="auto"/>
      </w:divBdr>
    </w:div>
    <w:div w:id="264001797">
      <w:bodyDiv w:val="1"/>
      <w:marLeft w:val="0"/>
      <w:marRight w:val="0"/>
      <w:marTop w:val="0"/>
      <w:marBottom w:val="0"/>
      <w:divBdr>
        <w:top w:val="none" w:sz="0" w:space="0" w:color="auto"/>
        <w:left w:val="none" w:sz="0" w:space="0" w:color="auto"/>
        <w:bottom w:val="none" w:sz="0" w:space="0" w:color="auto"/>
        <w:right w:val="none" w:sz="0" w:space="0" w:color="auto"/>
      </w:divBdr>
    </w:div>
    <w:div w:id="277297524">
      <w:bodyDiv w:val="1"/>
      <w:marLeft w:val="0"/>
      <w:marRight w:val="0"/>
      <w:marTop w:val="0"/>
      <w:marBottom w:val="0"/>
      <w:divBdr>
        <w:top w:val="none" w:sz="0" w:space="0" w:color="auto"/>
        <w:left w:val="none" w:sz="0" w:space="0" w:color="auto"/>
        <w:bottom w:val="none" w:sz="0" w:space="0" w:color="auto"/>
        <w:right w:val="none" w:sz="0" w:space="0" w:color="auto"/>
      </w:divBdr>
    </w:div>
    <w:div w:id="277372102">
      <w:bodyDiv w:val="1"/>
      <w:marLeft w:val="0"/>
      <w:marRight w:val="0"/>
      <w:marTop w:val="0"/>
      <w:marBottom w:val="0"/>
      <w:divBdr>
        <w:top w:val="none" w:sz="0" w:space="0" w:color="auto"/>
        <w:left w:val="none" w:sz="0" w:space="0" w:color="auto"/>
        <w:bottom w:val="none" w:sz="0" w:space="0" w:color="auto"/>
        <w:right w:val="none" w:sz="0" w:space="0" w:color="auto"/>
      </w:divBdr>
    </w:div>
    <w:div w:id="278952534">
      <w:bodyDiv w:val="1"/>
      <w:marLeft w:val="0"/>
      <w:marRight w:val="0"/>
      <w:marTop w:val="0"/>
      <w:marBottom w:val="0"/>
      <w:divBdr>
        <w:top w:val="none" w:sz="0" w:space="0" w:color="auto"/>
        <w:left w:val="none" w:sz="0" w:space="0" w:color="auto"/>
        <w:bottom w:val="none" w:sz="0" w:space="0" w:color="auto"/>
        <w:right w:val="none" w:sz="0" w:space="0" w:color="auto"/>
      </w:divBdr>
    </w:div>
    <w:div w:id="278994099">
      <w:bodyDiv w:val="1"/>
      <w:marLeft w:val="0"/>
      <w:marRight w:val="0"/>
      <w:marTop w:val="0"/>
      <w:marBottom w:val="0"/>
      <w:divBdr>
        <w:top w:val="none" w:sz="0" w:space="0" w:color="auto"/>
        <w:left w:val="none" w:sz="0" w:space="0" w:color="auto"/>
        <w:bottom w:val="none" w:sz="0" w:space="0" w:color="auto"/>
        <w:right w:val="none" w:sz="0" w:space="0" w:color="auto"/>
      </w:divBdr>
    </w:div>
    <w:div w:id="279532850">
      <w:bodyDiv w:val="1"/>
      <w:marLeft w:val="0"/>
      <w:marRight w:val="0"/>
      <w:marTop w:val="0"/>
      <w:marBottom w:val="0"/>
      <w:divBdr>
        <w:top w:val="none" w:sz="0" w:space="0" w:color="auto"/>
        <w:left w:val="none" w:sz="0" w:space="0" w:color="auto"/>
        <w:bottom w:val="none" w:sz="0" w:space="0" w:color="auto"/>
        <w:right w:val="none" w:sz="0" w:space="0" w:color="auto"/>
      </w:divBdr>
    </w:div>
    <w:div w:id="288438493">
      <w:bodyDiv w:val="1"/>
      <w:marLeft w:val="0"/>
      <w:marRight w:val="0"/>
      <w:marTop w:val="0"/>
      <w:marBottom w:val="0"/>
      <w:divBdr>
        <w:top w:val="none" w:sz="0" w:space="0" w:color="auto"/>
        <w:left w:val="none" w:sz="0" w:space="0" w:color="auto"/>
        <w:bottom w:val="none" w:sz="0" w:space="0" w:color="auto"/>
        <w:right w:val="none" w:sz="0" w:space="0" w:color="auto"/>
      </w:divBdr>
    </w:div>
    <w:div w:id="290090170">
      <w:bodyDiv w:val="1"/>
      <w:marLeft w:val="0"/>
      <w:marRight w:val="0"/>
      <w:marTop w:val="0"/>
      <w:marBottom w:val="0"/>
      <w:divBdr>
        <w:top w:val="none" w:sz="0" w:space="0" w:color="auto"/>
        <w:left w:val="none" w:sz="0" w:space="0" w:color="auto"/>
        <w:bottom w:val="none" w:sz="0" w:space="0" w:color="auto"/>
        <w:right w:val="none" w:sz="0" w:space="0" w:color="auto"/>
      </w:divBdr>
    </w:div>
    <w:div w:id="312023491">
      <w:bodyDiv w:val="1"/>
      <w:marLeft w:val="0"/>
      <w:marRight w:val="0"/>
      <w:marTop w:val="0"/>
      <w:marBottom w:val="0"/>
      <w:divBdr>
        <w:top w:val="none" w:sz="0" w:space="0" w:color="auto"/>
        <w:left w:val="none" w:sz="0" w:space="0" w:color="auto"/>
        <w:bottom w:val="none" w:sz="0" w:space="0" w:color="auto"/>
        <w:right w:val="none" w:sz="0" w:space="0" w:color="auto"/>
      </w:divBdr>
    </w:div>
    <w:div w:id="312949536">
      <w:bodyDiv w:val="1"/>
      <w:marLeft w:val="0"/>
      <w:marRight w:val="0"/>
      <w:marTop w:val="0"/>
      <w:marBottom w:val="0"/>
      <w:divBdr>
        <w:top w:val="none" w:sz="0" w:space="0" w:color="auto"/>
        <w:left w:val="none" w:sz="0" w:space="0" w:color="auto"/>
        <w:bottom w:val="none" w:sz="0" w:space="0" w:color="auto"/>
        <w:right w:val="none" w:sz="0" w:space="0" w:color="auto"/>
      </w:divBdr>
    </w:div>
    <w:div w:id="313680859">
      <w:bodyDiv w:val="1"/>
      <w:marLeft w:val="0"/>
      <w:marRight w:val="0"/>
      <w:marTop w:val="0"/>
      <w:marBottom w:val="0"/>
      <w:divBdr>
        <w:top w:val="none" w:sz="0" w:space="0" w:color="auto"/>
        <w:left w:val="none" w:sz="0" w:space="0" w:color="auto"/>
        <w:bottom w:val="none" w:sz="0" w:space="0" w:color="auto"/>
        <w:right w:val="none" w:sz="0" w:space="0" w:color="auto"/>
      </w:divBdr>
    </w:div>
    <w:div w:id="328797392">
      <w:bodyDiv w:val="1"/>
      <w:marLeft w:val="0"/>
      <w:marRight w:val="0"/>
      <w:marTop w:val="0"/>
      <w:marBottom w:val="0"/>
      <w:divBdr>
        <w:top w:val="none" w:sz="0" w:space="0" w:color="auto"/>
        <w:left w:val="none" w:sz="0" w:space="0" w:color="auto"/>
        <w:bottom w:val="none" w:sz="0" w:space="0" w:color="auto"/>
        <w:right w:val="none" w:sz="0" w:space="0" w:color="auto"/>
      </w:divBdr>
    </w:div>
    <w:div w:id="331030108">
      <w:bodyDiv w:val="1"/>
      <w:marLeft w:val="0"/>
      <w:marRight w:val="0"/>
      <w:marTop w:val="0"/>
      <w:marBottom w:val="0"/>
      <w:divBdr>
        <w:top w:val="none" w:sz="0" w:space="0" w:color="auto"/>
        <w:left w:val="none" w:sz="0" w:space="0" w:color="auto"/>
        <w:bottom w:val="none" w:sz="0" w:space="0" w:color="auto"/>
        <w:right w:val="none" w:sz="0" w:space="0" w:color="auto"/>
      </w:divBdr>
    </w:div>
    <w:div w:id="331564747">
      <w:bodyDiv w:val="1"/>
      <w:marLeft w:val="0"/>
      <w:marRight w:val="0"/>
      <w:marTop w:val="0"/>
      <w:marBottom w:val="0"/>
      <w:divBdr>
        <w:top w:val="none" w:sz="0" w:space="0" w:color="auto"/>
        <w:left w:val="none" w:sz="0" w:space="0" w:color="auto"/>
        <w:bottom w:val="none" w:sz="0" w:space="0" w:color="auto"/>
        <w:right w:val="none" w:sz="0" w:space="0" w:color="auto"/>
      </w:divBdr>
    </w:div>
    <w:div w:id="333267055">
      <w:bodyDiv w:val="1"/>
      <w:marLeft w:val="0"/>
      <w:marRight w:val="0"/>
      <w:marTop w:val="0"/>
      <w:marBottom w:val="0"/>
      <w:divBdr>
        <w:top w:val="none" w:sz="0" w:space="0" w:color="auto"/>
        <w:left w:val="none" w:sz="0" w:space="0" w:color="auto"/>
        <w:bottom w:val="none" w:sz="0" w:space="0" w:color="auto"/>
        <w:right w:val="none" w:sz="0" w:space="0" w:color="auto"/>
      </w:divBdr>
    </w:div>
    <w:div w:id="334652403">
      <w:bodyDiv w:val="1"/>
      <w:marLeft w:val="0"/>
      <w:marRight w:val="0"/>
      <w:marTop w:val="0"/>
      <w:marBottom w:val="0"/>
      <w:divBdr>
        <w:top w:val="none" w:sz="0" w:space="0" w:color="auto"/>
        <w:left w:val="none" w:sz="0" w:space="0" w:color="auto"/>
        <w:bottom w:val="none" w:sz="0" w:space="0" w:color="auto"/>
        <w:right w:val="none" w:sz="0" w:space="0" w:color="auto"/>
      </w:divBdr>
    </w:div>
    <w:div w:id="335228706">
      <w:bodyDiv w:val="1"/>
      <w:marLeft w:val="0"/>
      <w:marRight w:val="0"/>
      <w:marTop w:val="0"/>
      <w:marBottom w:val="0"/>
      <w:divBdr>
        <w:top w:val="none" w:sz="0" w:space="0" w:color="auto"/>
        <w:left w:val="none" w:sz="0" w:space="0" w:color="auto"/>
        <w:bottom w:val="none" w:sz="0" w:space="0" w:color="auto"/>
        <w:right w:val="none" w:sz="0" w:space="0" w:color="auto"/>
      </w:divBdr>
    </w:div>
    <w:div w:id="337193185">
      <w:bodyDiv w:val="1"/>
      <w:marLeft w:val="0"/>
      <w:marRight w:val="0"/>
      <w:marTop w:val="0"/>
      <w:marBottom w:val="0"/>
      <w:divBdr>
        <w:top w:val="none" w:sz="0" w:space="0" w:color="auto"/>
        <w:left w:val="none" w:sz="0" w:space="0" w:color="auto"/>
        <w:bottom w:val="none" w:sz="0" w:space="0" w:color="auto"/>
        <w:right w:val="none" w:sz="0" w:space="0" w:color="auto"/>
      </w:divBdr>
    </w:div>
    <w:div w:id="346754745">
      <w:bodyDiv w:val="1"/>
      <w:marLeft w:val="0"/>
      <w:marRight w:val="0"/>
      <w:marTop w:val="0"/>
      <w:marBottom w:val="0"/>
      <w:divBdr>
        <w:top w:val="none" w:sz="0" w:space="0" w:color="auto"/>
        <w:left w:val="none" w:sz="0" w:space="0" w:color="auto"/>
        <w:bottom w:val="none" w:sz="0" w:space="0" w:color="auto"/>
        <w:right w:val="none" w:sz="0" w:space="0" w:color="auto"/>
      </w:divBdr>
    </w:div>
    <w:div w:id="349642980">
      <w:bodyDiv w:val="1"/>
      <w:marLeft w:val="0"/>
      <w:marRight w:val="0"/>
      <w:marTop w:val="0"/>
      <w:marBottom w:val="0"/>
      <w:divBdr>
        <w:top w:val="none" w:sz="0" w:space="0" w:color="auto"/>
        <w:left w:val="none" w:sz="0" w:space="0" w:color="auto"/>
        <w:bottom w:val="none" w:sz="0" w:space="0" w:color="auto"/>
        <w:right w:val="none" w:sz="0" w:space="0" w:color="auto"/>
      </w:divBdr>
    </w:div>
    <w:div w:id="369065059">
      <w:bodyDiv w:val="1"/>
      <w:marLeft w:val="0"/>
      <w:marRight w:val="0"/>
      <w:marTop w:val="0"/>
      <w:marBottom w:val="0"/>
      <w:divBdr>
        <w:top w:val="none" w:sz="0" w:space="0" w:color="auto"/>
        <w:left w:val="none" w:sz="0" w:space="0" w:color="auto"/>
        <w:bottom w:val="none" w:sz="0" w:space="0" w:color="auto"/>
        <w:right w:val="none" w:sz="0" w:space="0" w:color="auto"/>
      </w:divBdr>
    </w:div>
    <w:div w:id="373427257">
      <w:bodyDiv w:val="1"/>
      <w:marLeft w:val="0"/>
      <w:marRight w:val="0"/>
      <w:marTop w:val="0"/>
      <w:marBottom w:val="0"/>
      <w:divBdr>
        <w:top w:val="none" w:sz="0" w:space="0" w:color="auto"/>
        <w:left w:val="none" w:sz="0" w:space="0" w:color="auto"/>
        <w:bottom w:val="none" w:sz="0" w:space="0" w:color="auto"/>
        <w:right w:val="none" w:sz="0" w:space="0" w:color="auto"/>
      </w:divBdr>
    </w:div>
    <w:div w:id="382025603">
      <w:bodyDiv w:val="1"/>
      <w:marLeft w:val="0"/>
      <w:marRight w:val="0"/>
      <w:marTop w:val="0"/>
      <w:marBottom w:val="0"/>
      <w:divBdr>
        <w:top w:val="none" w:sz="0" w:space="0" w:color="auto"/>
        <w:left w:val="none" w:sz="0" w:space="0" w:color="auto"/>
        <w:bottom w:val="none" w:sz="0" w:space="0" w:color="auto"/>
        <w:right w:val="none" w:sz="0" w:space="0" w:color="auto"/>
      </w:divBdr>
    </w:div>
    <w:div w:id="383480652">
      <w:bodyDiv w:val="1"/>
      <w:marLeft w:val="0"/>
      <w:marRight w:val="0"/>
      <w:marTop w:val="0"/>
      <w:marBottom w:val="0"/>
      <w:divBdr>
        <w:top w:val="none" w:sz="0" w:space="0" w:color="auto"/>
        <w:left w:val="none" w:sz="0" w:space="0" w:color="auto"/>
        <w:bottom w:val="none" w:sz="0" w:space="0" w:color="auto"/>
        <w:right w:val="none" w:sz="0" w:space="0" w:color="auto"/>
      </w:divBdr>
    </w:div>
    <w:div w:id="384984501">
      <w:bodyDiv w:val="1"/>
      <w:marLeft w:val="0"/>
      <w:marRight w:val="0"/>
      <w:marTop w:val="0"/>
      <w:marBottom w:val="0"/>
      <w:divBdr>
        <w:top w:val="none" w:sz="0" w:space="0" w:color="auto"/>
        <w:left w:val="none" w:sz="0" w:space="0" w:color="auto"/>
        <w:bottom w:val="none" w:sz="0" w:space="0" w:color="auto"/>
        <w:right w:val="none" w:sz="0" w:space="0" w:color="auto"/>
      </w:divBdr>
    </w:div>
    <w:div w:id="385493230">
      <w:bodyDiv w:val="1"/>
      <w:marLeft w:val="0"/>
      <w:marRight w:val="0"/>
      <w:marTop w:val="0"/>
      <w:marBottom w:val="0"/>
      <w:divBdr>
        <w:top w:val="none" w:sz="0" w:space="0" w:color="auto"/>
        <w:left w:val="none" w:sz="0" w:space="0" w:color="auto"/>
        <w:bottom w:val="none" w:sz="0" w:space="0" w:color="auto"/>
        <w:right w:val="none" w:sz="0" w:space="0" w:color="auto"/>
      </w:divBdr>
    </w:div>
    <w:div w:id="389309754">
      <w:bodyDiv w:val="1"/>
      <w:marLeft w:val="0"/>
      <w:marRight w:val="0"/>
      <w:marTop w:val="0"/>
      <w:marBottom w:val="0"/>
      <w:divBdr>
        <w:top w:val="none" w:sz="0" w:space="0" w:color="auto"/>
        <w:left w:val="none" w:sz="0" w:space="0" w:color="auto"/>
        <w:bottom w:val="none" w:sz="0" w:space="0" w:color="auto"/>
        <w:right w:val="none" w:sz="0" w:space="0" w:color="auto"/>
      </w:divBdr>
    </w:div>
    <w:div w:id="390543958">
      <w:bodyDiv w:val="1"/>
      <w:marLeft w:val="0"/>
      <w:marRight w:val="0"/>
      <w:marTop w:val="0"/>
      <w:marBottom w:val="0"/>
      <w:divBdr>
        <w:top w:val="none" w:sz="0" w:space="0" w:color="auto"/>
        <w:left w:val="none" w:sz="0" w:space="0" w:color="auto"/>
        <w:bottom w:val="none" w:sz="0" w:space="0" w:color="auto"/>
        <w:right w:val="none" w:sz="0" w:space="0" w:color="auto"/>
      </w:divBdr>
    </w:div>
    <w:div w:id="391583541">
      <w:bodyDiv w:val="1"/>
      <w:marLeft w:val="0"/>
      <w:marRight w:val="0"/>
      <w:marTop w:val="0"/>
      <w:marBottom w:val="0"/>
      <w:divBdr>
        <w:top w:val="none" w:sz="0" w:space="0" w:color="auto"/>
        <w:left w:val="none" w:sz="0" w:space="0" w:color="auto"/>
        <w:bottom w:val="none" w:sz="0" w:space="0" w:color="auto"/>
        <w:right w:val="none" w:sz="0" w:space="0" w:color="auto"/>
      </w:divBdr>
    </w:div>
    <w:div w:id="393357066">
      <w:bodyDiv w:val="1"/>
      <w:marLeft w:val="0"/>
      <w:marRight w:val="0"/>
      <w:marTop w:val="0"/>
      <w:marBottom w:val="0"/>
      <w:divBdr>
        <w:top w:val="none" w:sz="0" w:space="0" w:color="auto"/>
        <w:left w:val="none" w:sz="0" w:space="0" w:color="auto"/>
        <w:bottom w:val="none" w:sz="0" w:space="0" w:color="auto"/>
        <w:right w:val="none" w:sz="0" w:space="0" w:color="auto"/>
      </w:divBdr>
    </w:div>
    <w:div w:id="395906642">
      <w:bodyDiv w:val="1"/>
      <w:marLeft w:val="0"/>
      <w:marRight w:val="0"/>
      <w:marTop w:val="0"/>
      <w:marBottom w:val="0"/>
      <w:divBdr>
        <w:top w:val="none" w:sz="0" w:space="0" w:color="auto"/>
        <w:left w:val="none" w:sz="0" w:space="0" w:color="auto"/>
        <w:bottom w:val="none" w:sz="0" w:space="0" w:color="auto"/>
        <w:right w:val="none" w:sz="0" w:space="0" w:color="auto"/>
      </w:divBdr>
    </w:div>
    <w:div w:id="398358411">
      <w:bodyDiv w:val="1"/>
      <w:marLeft w:val="0"/>
      <w:marRight w:val="0"/>
      <w:marTop w:val="0"/>
      <w:marBottom w:val="0"/>
      <w:divBdr>
        <w:top w:val="none" w:sz="0" w:space="0" w:color="auto"/>
        <w:left w:val="none" w:sz="0" w:space="0" w:color="auto"/>
        <w:bottom w:val="none" w:sz="0" w:space="0" w:color="auto"/>
        <w:right w:val="none" w:sz="0" w:space="0" w:color="auto"/>
      </w:divBdr>
    </w:div>
    <w:div w:id="400910577">
      <w:bodyDiv w:val="1"/>
      <w:marLeft w:val="0"/>
      <w:marRight w:val="0"/>
      <w:marTop w:val="0"/>
      <w:marBottom w:val="0"/>
      <w:divBdr>
        <w:top w:val="none" w:sz="0" w:space="0" w:color="auto"/>
        <w:left w:val="none" w:sz="0" w:space="0" w:color="auto"/>
        <w:bottom w:val="none" w:sz="0" w:space="0" w:color="auto"/>
        <w:right w:val="none" w:sz="0" w:space="0" w:color="auto"/>
      </w:divBdr>
    </w:div>
    <w:div w:id="408163268">
      <w:bodyDiv w:val="1"/>
      <w:marLeft w:val="0"/>
      <w:marRight w:val="0"/>
      <w:marTop w:val="0"/>
      <w:marBottom w:val="0"/>
      <w:divBdr>
        <w:top w:val="none" w:sz="0" w:space="0" w:color="auto"/>
        <w:left w:val="none" w:sz="0" w:space="0" w:color="auto"/>
        <w:bottom w:val="none" w:sz="0" w:space="0" w:color="auto"/>
        <w:right w:val="none" w:sz="0" w:space="0" w:color="auto"/>
      </w:divBdr>
    </w:div>
    <w:div w:id="415326068">
      <w:bodyDiv w:val="1"/>
      <w:marLeft w:val="0"/>
      <w:marRight w:val="0"/>
      <w:marTop w:val="0"/>
      <w:marBottom w:val="0"/>
      <w:divBdr>
        <w:top w:val="none" w:sz="0" w:space="0" w:color="auto"/>
        <w:left w:val="none" w:sz="0" w:space="0" w:color="auto"/>
        <w:bottom w:val="none" w:sz="0" w:space="0" w:color="auto"/>
        <w:right w:val="none" w:sz="0" w:space="0" w:color="auto"/>
      </w:divBdr>
    </w:div>
    <w:div w:id="420613427">
      <w:bodyDiv w:val="1"/>
      <w:marLeft w:val="0"/>
      <w:marRight w:val="0"/>
      <w:marTop w:val="0"/>
      <w:marBottom w:val="0"/>
      <w:divBdr>
        <w:top w:val="none" w:sz="0" w:space="0" w:color="auto"/>
        <w:left w:val="none" w:sz="0" w:space="0" w:color="auto"/>
        <w:bottom w:val="none" w:sz="0" w:space="0" w:color="auto"/>
        <w:right w:val="none" w:sz="0" w:space="0" w:color="auto"/>
      </w:divBdr>
    </w:div>
    <w:div w:id="421726361">
      <w:bodyDiv w:val="1"/>
      <w:marLeft w:val="0"/>
      <w:marRight w:val="0"/>
      <w:marTop w:val="0"/>
      <w:marBottom w:val="0"/>
      <w:divBdr>
        <w:top w:val="none" w:sz="0" w:space="0" w:color="auto"/>
        <w:left w:val="none" w:sz="0" w:space="0" w:color="auto"/>
        <w:bottom w:val="none" w:sz="0" w:space="0" w:color="auto"/>
        <w:right w:val="none" w:sz="0" w:space="0" w:color="auto"/>
      </w:divBdr>
    </w:div>
    <w:div w:id="447896809">
      <w:bodyDiv w:val="1"/>
      <w:marLeft w:val="0"/>
      <w:marRight w:val="0"/>
      <w:marTop w:val="0"/>
      <w:marBottom w:val="0"/>
      <w:divBdr>
        <w:top w:val="none" w:sz="0" w:space="0" w:color="auto"/>
        <w:left w:val="none" w:sz="0" w:space="0" w:color="auto"/>
        <w:bottom w:val="none" w:sz="0" w:space="0" w:color="auto"/>
        <w:right w:val="none" w:sz="0" w:space="0" w:color="auto"/>
      </w:divBdr>
    </w:div>
    <w:div w:id="449397658">
      <w:bodyDiv w:val="1"/>
      <w:marLeft w:val="0"/>
      <w:marRight w:val="0"/>
      <w:marTop w:val="0"/>
      <w:marBottom w:val="0"/>
      <w:divBdr>
        <w:top w:val="none" w:sz="0" w:space="0" w:color="auto"/>
        <w:left w:val="none" w:sz="0" w:space="0" w:color="auto"/>
        <w:bottom w:val="none" w:sz="0" w:space="0" w:color="auto"/>
        <w:right w:val="none" w:sz="0" w:space="0" w:color="auto"/>
      </w:divBdr>
    </w:div>
    <w:div w:id="452483000">
      <w:bodyDiv w:val="1"/>
      <w:marLeft w:val="0"/>
      <w:marRight w:val="0"/>
      <w:marTop w:val="0"/>
      <w:marBottom w:val="0"/>
      <w:divBdr>
        <w:top w:val="none" w:sz="0" w:space="0" w:color="auto"/>
        <w:left w:val="none" w:sz="0" w:space="0" w:color="auto"/>
        <w:bottom w:val="none" w:sz="0" w:space="0" w:color="auto"/>
        <w:right w:val="none" w:sz="0" w:space="0" w:color="auto"/>
      </w:divBdr>
    </w:div>
    <w:div w:id="454908469">
      <w:bodyDiv w:val="1"/>
      <w:marLeft w:val="0"/>
      <w:marRight w:val="0"/>
      <w:marTop w:val="0"/>
      <w:marBottom w:val="0"/>
      <w:divBdr>
        <w:top w:val="none" w:sz="0" w:space="0" w:color="auto"/>
        <w:left w:val="none" w:sz="0" w:space="0" w:color="auto"/>
        <w:bottom w:val="none" w:sz="0" w:space="0" w:color="auto"/>
        <w:right w:val="none" w:sz="0" w:space="0" w:color="auto"/>
      </w:divBdr>
    </w:div>
    <w:div w:id="455637505">
      <w:bodyDiv w:val="1"/>
      <w:marLeft w:val="0"/>
      <w:marRight w:val="0"/>
      <w:marTop w:val="0"/>
      <w:marBottom w:val="0"/>
      <w:divBdr>
        <w:top w:val="none" w:sz="0" w:space="0" w:color="auto"/>
        <w:left w:val="none" w:sz="0" w:space="0" w:color="auto"/>
        <w:bottom w:val="none" w:sz="0" w:space="0" w:color="auto"/>
        <w:right w:val="none" w:sz="0" w:space="0" w:color="auto"/>
      </w:divBdr>
    </w:div>
    <w:div w:id="456484482">
      <w:bodyDiv w:val="1"/>
      <w:marLeft w:val="0"/>
      <w:marRight w:val="0"/>
      <w:marTop w:val="0"/>
      <w:marBottom w:val="0"/>
      <w:divBdr>
        <w:top w:val="none" w:sz="0" w:space="0" w:color="auto"/>
        <w:left w:val="none" w:sz="0" w:space="0" w:color="auto"/>
        <w:bottom w:val="none" w:sz="0" w:space="0" w:color="auto"/>
        <w:right w:val="none" w:sz="0" w:space="0" w:color="auto"/>
      </w:divBdr>
    </w:div>
    <w:div w:id="456919533">
      <w:bodyDiv w:val="1"/>
      <w:marLeft w:val="0"/>
      <w:marRight w:val="0"/>
      <w:marTop w:val="0"/>
      <w:marBottom w:val="0"/>
      <w:divBdr>
        <w:top w:val="none" w:sz="0" w:space="0" w:color="auto"/>
        <w:left w:val="none" w:sz="0" w:space="0" w:color="auto"/>
        <w:bottom w:val="none" w:sz="0" w:space="0" w:color="auto"/>
        <w:right w:val="none" w:sz="0" w:space="0" w:color="auto"/>
      </w:divBdr>
    </w:div>
    <w:div w:id="458376583">
      <w:bodyDiv w:val="1"/>
      <w:marLeft w:val="0"/>
      <w:marRight w:val="0"/>
      <w:marTop w:val="0"/>
      <w:marBottom w:val="0"/>
      <w:divBdr>
        <w:top w:val="none" w:sz="0" w:space="0" w:color="auto"/>
        <w:left w:val="none" w:sz="0" w:space="0" w:color="auto"/>
        <w:bottom w:val="none" w:sz="0" w:space="0" w:color="auto"/>
        <w:right w:val="none" w:sz="0" w:space="0" w:color="auto"/>
      </w:divBdr>
    </w:div>
    <w:div w:id="461847600">
      <w:bodyDiv w:val="1"/>
      <w:marLeft w:val="0"/>
      <w:marRight w:val="0"/>
      <w:marTop w:val="0"/>
      <w:marBottom w:val="0"/>
      <w:divBdr>
        <w:top w:val="none" w:sz="0" w:space="0" w:color="auto"/>
        <w:left w:val="none" w:sz="0" w:space="0" w:color="auto"/>
        <w:bottom w:val="none" w:sz="0" w:space="0" w:color="auto"/>
        <w:right w:val="none" w:sz="0" w:space="0" w:color="auto"/>
      </w:divBdr>
    </w:div>
    <w:div w:id="463814425">
      <w:bodyDiv w:val="1"/>
      <w:marLeft w:val="0"/>
      <w:marRight w:val="0"/>
      <w:marTop w:val="0"/>
      <w:marBottom w:val="0"/>
      <w:divBdr>
        <w:top w:val="none" w:sz="0" w:space="0" w:color="auto"/>
        <w:left w:val="none" w:sz="0" w:space="0" w:color="auto"/>
        <w:bottom w:val="none" w:sz="0" w:space="0" w:color="auto"/>
        <w:right w:val="none" w:sz="0" w:space="0" w:color="auto"/>
      </w:divBdr>
    </w:div>
    <w:div w:id="467162899">
      <w:bodyDiv w:val="1"/>
      <w:marLeft w:val="0"/>
      <w:marRight w:val="0"/>
      <w:marTop w:val="0"/>
      <w:marBottom w:val="0"/>
      <w:divBdr>
        <w:top w:val="none" w:sz="0" w:space="0" w:color="auto"/>
        <w:left w:val="none" w:sz="0" w:space="0" w:color="auto"/>
        <w:bottom w:val="none" w:sz="0" w:space="0" w:color="auto"/>
        <w:right w:val="none" w:sz="0" w:space="0" w:color="auto"/>
      </w:divBdr>
    </w:div>
    <w:div w:id="473523521">
      <w:bodyDiv w:val="1"/>
      <w:marLeft w:val="0"/>
      <w:marRight w:val="0"/>
      <w:marTop w:val="0"/>
      <w:marBottom w:val="0"/>
      <w:divBdr>
        <w:top w:val="none" w:sz="0" w:space="0" w:color="auto"/>
        <w:left w:val="none" w:sz="0" w:space="0" w:color="auto"/>
        <w:bottom w:val="none" w:sz="0" w:space="0" w:color="auto"/>
        <w:right w:val="none" w:sz="0" w:space="0" w:color="auto"/>
      </w:divBdr>
    </w:div>
    <w:div w:id="473645841">
      <w:bodyDiv w:val="1"/>
      <w:marLeft w:val="0"/>
      <w:marRight w:val="0"/>
      <w:marTop w:val="0"/>
      <w:marBottom w:val="0"/>
      <w:divBdr>
        <w:top w:val="none" w:sz="0" w:space="0" w:color="auto"/>
        <w:left w:val="none" w:sz="0" w:space="0" w:color="auto"/>
        <w:bottom w:val="none" w:sz="0" w:space="0" w:color="auto"/>
        <w:right w:val="none" w:sz="0" w:space="0" w:color="auto"/>
      </w:divBdr>
    </w:div>
    <w:div w:id="474763953">
      <w:bodyDiv w:val="1"/>
      <w:marLeft w:val="0"/>
      <w:marRight w:val="0"/>
      <w:marTop w:val="0"/>
      <w:marBottom w:val="0"/>
      <w:divBdr>
        <w:top w:val="none" w:sz="0" w:space="0" w:color="auto"/>
        <w:left w:val="none" w:sz="0" w:space="0" w:color="auto"/>
        <w:bottom w:val="none" w:sz="0" w:space="0" w:color="auto"/>
        <w:right w:val="none" w:sz="0" w:space="0" w:color="auto"/>
      </w:divBdr>
    </w:div>
    <w:div w:id="474835486">
      <w:bodyDiv w:val="1"/>
      <w:marLeft w:val="0"/>
      <w:marRight w:val="0"/>
      <w:marTop w:val="0"/>
      <w:marBottom w:val="0"/>
      <w:divBdr>
        <w:top w:val="none" w:sz="0" w:space="0" w:color="auto"/>
        <w:left w:val="none" w:sz="0" w:space="0" w:color="auto"/>
        <w:bottom w:val="none" w:sz="0" w:space="0" w:color="auto"/>
        <w:right w:val="none" w:sz="0" w:space="0" w:color="auto"/>
      </w:divBdr>
    </w:div>
    <w:div w:id="481239058">
      <w:bodyDiv w:val="1"/>
      <w:marLeft w:val="0"/>
      <w:marRight w:val="0"/>
      <w:marTop w:val="0"/>
      <w:marBottom w:val="0"/>
      <w:divBdr>
        <w:top w:val="none" w:sz="0" w:space="0" w:color="auto"/>
        <w:left w:val="none" w:sz="0" w:space="0" w:color="auto"/>
        <w:bottom w:val="none" w:sz="0" w:space="0" w:color="auto"/>
        <w:right w:val="none" w:sz="0" w:space="0" w:color="auto"/>
      </w:divBdr>
    </w:div>
    <w:div w:id="487401769">
      <w:bodyDiv w:val="1"/>
      <w:marLeft w:val="0"/>
      <w:marRight w:val="0"/>
      <w:marTop w:val="0"/>
      <w:marBottom w:val="0"/>
      <w:divBdr>
        <w:top w:val="none" w:sz="0" w:space="0" w:color="auto"/>
        <w:left w:val="none" w:sz="0" w:space="0" w:color="auto"/>
        <w:bottom w:val="none" w:sz="0" w:space="0" w:color="auto"/>
        <w:right w:val="none" w:sz="0" w:space="0" w:color="auto"/>
      </w:divBdr>
    </w:div>
    <w:div w:id="495390132">
      <w:bodyDiv w:val="1"/>
      <w:marLeft w:val="0"/>
      <w:marRight w:val="0"/>
      <w:marTop w:val="0"/>
      <w:marBottom w:val="0"/>
      <w:divBdr>
        <w:top w:val="none" w:sz="0" w:space="0" w:color="auto"/>
        <w:left w:val="none" w:sz="0" w:space="0" w:color="auto"/>
        <w:bottom w:val="none" w:sz="0" w:space="0" w:color="auto"/>
        <w:right w:val="none" w:sz="0" w:space="0" w:color="auto"/>
      </w:divBdr>
    </w:div>
    <w:div w:id="506794855">
      <w:bodyDiv w:val="1"/>
      <w:marLeft w:val="0"/>
      <w:marRight w:val="0"/>
      <w:marTop w:val="0"/>
      <w:marBottom w:val="0"/>
      <w:divBdr>
        <w:top w:val="none" w:sz="0" w:space="0" w:color="auto"/>
        <w:left w:val="none" w:sz="0" w:space="0" w:color="auto"/>
        <w:bottom w:val="none" w:sz="0" w:space="0" w:color="auto"/>
        <w:right w:val="none" w:sz="0" w:space="0" w:color="auto"/>
      </w:divBdr>
    </w:div>
    <w:div w:id="509099583">
      <w:bodyDiv w:val="1"/>
      <w:marLeft w:val="0"/>
      <w:marRight w:val="0"/>
      <w:marTop w:val="0"/>
      <w:marBottom w:val="0"/>
      <w:divBdr>
        <w:top w:val="none" w:sz="0" w:space="0" w:color="auto"/>
        <w:left w:val="none" w:sz="0" w:space="0" w:color="auto"/>
        <w:bottom w:val="none" w:sz="0" w:space="0" w:color="auto"/>
        <w:right w:val="none" w:sz="0" w:space="0" w:color="auto"/>
      </w:divBdr>
    </w:div>
    <w:div w:id="517472460">
      <w:bodyDiv w:val="1"/>
      <w:marLeft w:val="0"/>
      <w:marRight w:val="0"/>
      <w:marTop w:val="0"/>
      <w:marBottom w:val="0"/>
      <w:divBdr>
        <w:top w:val="none" w:sz="0" w:space="0" w:color="auto"/>
        <w:left w:val="none" w:sz="0" w:space="0" w:color="auto"/>
        <w:bottom w:val="none" w:sz="0" w:space="0" w:color="auto"/>
        <w:right w:val="none" w:sz="0" w:space="0" w:color="auto"/>
      </w:divBdr>
    </w:div>
    <w:div w:id="518665931">
      <w:bodyDiv w:val="1"/>
      <w:marLeft w:val="0"/>
      <w:marRight w:val="0"/>
      <w:marTop w:val="0"/>
      <w:marBottom w:val="0"/>
      <w:divBdr>
        <w:top w:val="none" w:sz="0" w:space="0" w:color="auto"/>
        <w:left w:val="none" w:sz="0" w:space="0" w:color="auto"/>
        <w:bottom w:val="none" w:sz="0" w:space="0" w:color="auto"/>
        <w:right w:val="none" w:sz="0" w:space="0" w:color="auto"/>
      </w:divBdr>
    </w:div>
    <w:div w:id="519322969">
      <w:bodyDiv w:val="1"/>
      <w:marLeft w:val="0"/>
      <w:marRight w:val="0"/>
      <w:marTop w:val="0"/>
      <w:marBottom w:val="0"/>
      <w:divBdr>
        <w:top w:val="none" w:sz="0" w:space="0" w:color="auto"/>
        <w:left w:val="none" w:sz="0" w:space="0" w:color="auto"/>
        <w:bottom w:val="none" w:sz="0" w:space="0" w:color="auto"/>
        <w:right w:val="none" w:sz="0" w:space="0" w:color="auto"/>
      </w:divBdr>
    </w:div>
    <w:div w:id="523447684">
      <w:bodyDiv w:val="1"/>
      <w:marLeft w:val="0"/>
      <w:marRight w:val="0"/>
      <w:marTop w:val="0"/>
      <w:marBottom w:val="0"/>
      <w:divBdr>
        <w:top w:val="none" w:sz="0" w:space="0" w:color="auto"/>
        <w:left w:val="none" w:sz="0" w:space="0" w:color="auto"/>
        <w:bottom w:val="none" w:sz="0" w:space="0" w:color="auto"/>
        <w:right w:val="none" w:sz="0" w:space="0" w:color="auto"/>
      </w:divBdr>
    </w:div>
    <w:div w:id="532033754">
      <w:bodyDiv w:val="1"/>
      <w:marLeft w:val="0"/>
      <w:marRight w:val="0"/>
      <w:marTop w:val="0"/>
      <w:marBottom w:val="0"/>
      <w:divBdr>
        <w:top w:val="none" w:sz="0" w:space="0" w:color="auto"/>
        <w:left w:val="none" w:sz="0" w:space="0" w:color="auto"/>
        <w:bottom w:val="none" w:sz="0" w:space="0" w:color="auto"/>
        <w:right w:val="none" w:sz="0" w:space="0" w:color="auto"/>
      </w:divBdr>
    </w:div>
    <w:div w:id="533739325">
      <w:bodyDiv w:val="1"/>
      <w:marLeft w:val="0"/>
      <w:marRight w:val="0"/>
      <w:marTop w:val="0"/>
      <w:marBottom w:val="0"/>
      <w:divBdr>
        <w:top w:val="none" w:sz="0" w:space="0" w:color="auto"/>
        <w:left w:val="none" w:sz="0" w:space="0" w:color="auto"/>
        <w:bottom w:val="none" w:sz="0" w:space="0" w:color="auto"/>
        <w:right w:val="none" w:sz="0" w:space="0" w:color="auto"/>
      </w:divBdr>
    </w:div>
    <w:div w:id="539510126">
      <w:bodyDiv w:val="1"/>
      <w:marLeft w:val="0"/>
      <w:marRight w:val="0"/>
      <w:marTop w:val="0"/>
      <w:marBottom w:val="0"/>
      <w:divBdr>
        <w:top w:val="none" w:sz="0" w:space="0" w:color="auto"/>
        <w:left w:val="none" w:sz="0" w:space="0" w:color="auto"/>
        <w:bottom w:val="none" w:sz="0" w:space="0" w:color="auto"/>
        <w:right w:val="none" w:sz="0" w:space="0" w:color="auto"/>
      </w:divBdr>
    </w:div>
    <w:div w:id="539825119">
      <w:bodyDiv w:val="1"/>
      <w:marLeft w:val="0"/>
      <w:marRight w:val="0"/>
      <w:marTop w:val="0"/>
      <w:marBottom w:val="0"/>
      <w:divBdr>
        <w:top w:val="none" w:sz="0" w:space="0" w:color="auto"/>
        <w:left w:val="none" w:sz="0" w:space="0" w:color="auto"/>
        <w:bottom w:val="none" w:sz="0" w:space="0" w:color="auto"/>
        <w:right w:val="none" w:sz="0" w:space="0" w:color="auto"/>
      </w:divBdr>
    </w:div>
    <w:div w:id="541476574">
      <w:bodyDiv w:val="1"/>
      <w:marLeft w:val="0"/>
      <w:marRight w:val="0"/>
      <w:marTop w:val="0"/>
      <w:marBottom w:val="0"/>
      <w:divBdr>
        <w:top w:val="none" w:sz="0" w:space="0" w:color="auto"/>
        <w:left w:val="none" w:sz="0" w:space="0" w:color="auto"/>
        <w:bottom w:val="none" w:sz="0" w:space="0" w:color="auto"/>
        <w:right w:val="none" w:sz="0" w:space="0" w:color="auto"/>
      </w:divBdr>
    </w:div>
    <w:div w:id="541751983">
      <w:bodyDiv w:val="1"/>
      <w:marLeft w:val="0"/>
      <w:marRight w:val="0"/>
      <w:marTop w:val="0"/>
      <w:marBottom w:val="0"/>
      <w:divBdr>
        <w:top w:val="none" w:sz="0" w:space="0" w:color="auto"/>
        <w:left w:val="none" w:sz="0" w:space="0" w:color="auto"/>
        <w:bottom w:val="none" w:sz="0" w:space="0" w:color="auto"/>
        <w:right w:val="none" w:sz="0" w:space="0" w:color="auto"/>
      </w:divBdr>
    </w:div>
    <w:div w:id="546451052">
      <w:bodyDiv w:val="1"/>
      <w:marLeft w:val="0"/>
      <w:marRight w:val="0"/>
      <w:marTop w:val="0"/>
      <w:marBottom w:val="0"/>
      <w:divBdr>
        <w:top w:val="none" w:sz="0" w:space="0" w:color="auto"/>
        <w:left w:val="none" w:sz="0" w:space="0" w:color="auto"/>
        <w:bottom w:val="none" w:sz="0" w:space="0" w:color="auto"/>
        <w:right w:val="none" w:sz="0" w:space="0" w:color="auto"/>
      </w:divBdr>
    </w:div>
    <w:div w:id="548492452">
      <w:bodyDiv w:val="1"/>
      <w:marLeft w:val="0"/>
      <w:marRight w:val="0"/>
      <w:marTop w:val="0"/>
      <w:marBottom w:val="0"/>
      <w:divBdr>
        <w:top w:val="none" w:sz="0" w:space="0" w:color="auto"/>
        <w:left w:val="none" w:sz="0" w:space="0" w:color="auto"/>
        <w:bottom w:val="none" w:sz="0" w:space="0" w:color="auto"/>
        <w:right w:val="none" w:sz="0" w:space="0" w:color="auto"/>
      </w:divBdr>
    </w:div>
    <w:div w:id="553201926">
      <w:bodyDiv w:val="1"/>
      <w:marLeft w:val="0"/>
      <w:marRight w:val="0"/>
      <w:marTop w:val="0"/>
      <w:marBottom w:val="0"/>
      <w:divBdr>
        <w:top w:val="none" w:sz="0" w:space="0" w:color="auto"/>
        <w:left w:val="none" w:sz="0" w:space="0" w:color="auto"/>
        <w:bottom w:val="none" w:sz="0" w:space="0" w:color="auto"/>
        <w:right w:val="none" w:sz="0" w:space="0" w:color="auto"/>
      </w:divBdr>
    </w:div>
    <w:div w:id="553590092">
      <w:bodyDiv w:val="1"/>
      <w:marLeft w:val="0"/>
      <w:marRight w:val="0"/>
      <w:marTop w:val="0"/>
      <w:marBottom w:val="0"/>
      <w:divBdr>
        <w:top w:val="none" w:sz="0" w:space="0" w:color="auto"/>
        <w:left w:val="none" w:sz="0" w:space="0" w:color="auto"/>
        <w:bottom w:val="none" w:sz="0" w:space="0" w:color="auto"/>
        <w:right w:val="none" w:sz="0" w:space="0" w:color="auto"/>
      </w:divBdr>
    </w:div>
    <w:div w:id="557012434">
      <w:bodyDiv w:val="1"/>
      <w:marLeft w:val="0"/>
      <w:marRight w:val="0"/>
      <w:marTop w:val="0"/>
      <w:marBottom w:val="0"/>
      <w:divBdr>
        <w:top w:val="none" w:sz="0" w:space="0" w:color="auto"/>
        <w:left w:val="none" w:sz="0" w:space="0" w:color="auto"/>
        <w:bottom w:val="none" w:sz="0" w:space="0" w:color="auto"/>
        <w:right w:val="none" w:sz="0" w:space="0" w:color="auto"/>
      </w:divBdr>
    </w:div>
    <w:div w:id="557934823">
      <w:bodyDiv w:val="1"/>
      <w:marLeft w:val="0"/>
      <w:marRight w:val="0"/>
      <w:marTop w:val="0"/>
      <w:marBottom w:val="0"/>
      <w:divBdr>
        <w:top w:val="none" w:sz="0" w:space="0" w:color="auto"/>
        <w:left w:val="none" w:sz="0" w:space="0" w:color="auto"/>
        <w:bottom w:val="none" w:sz="0" w:space="0" w:color="auto"/>
        <w:right w:val="none" w:sz="0" w:space="0" w:color="auto"/>
      </w:divBdr>
    </w:div>
    <w:div w:id="559832639">
      <w:bodyDiv w:val="1"/>
      <w:marLeft w:val="0"/>
      <w:marRight w:val="0"/>
      <w:marTop w:val="0"/>
      <w:marBottom w:val="0"/>
      <w:divBdr>
        <w:top w:val="none" w:sz="0" w:space="0" w:color="auto"/>
        <w:left w:val="none" w:sz="0" w:space="0" w:color="auto"/>
        <w:bottom w:val="none" w:sz="0" w:space="0" w:color="auto"/>
        <w:right w:val="none" w:sz="0" w:space="0" w:color="auto"/>
      </w:divBdr>
    </w:div>
    <w:div w:id="565993799">
      <w:bodyDiv w:val="1"/>
      <w:marLeft w:val="0"/>
      <w:marRight w:val="0"/>
      <w:marTop w:val="0"/>
      <w:marBottom w:val="0"/>
      <w:divBdr>
        <w:top w:val="none" w:sz="0" w:space="0" w:color="auto"/>
        <w:left w:val="none" w:sz="0" w:space="0" w:color="auto"/>
        <w:bottom w:val="none" w:sz="0" w:space="0" w:color="auto"/>
        <w:right w:val="none" w:sz="0" w:space="0" w:color="auto"/>
      </w:divBdr>
    </w:div>
    <w:div w:id="567110734">
      <w:bodyDiv w:val="1"/>
      <w:marLeft w:val="0"/>
      <w:marRight w:val="0"/>
      <w:marTop w:val="0"/>
      <w:marBottom w:val="0"/>
      <w:divBdr>
        <w:top w:val="none" w:sz="0" w:space="0" w:color="auto"/>
        <w:left w:val="none" w:sz="0" w:space="0" w:color="auto"/>
        <w:bottom w:val="none" w:sz="0" w:space="0" w:color="auto"/>
        <w:right w:val="none" w:sz="0" w:space="0" w:color="auto"/>
      </w:divBdr>
    </w:div>
    <w:div w:id="575938399">
      <w:bodyDiv w:val="1"/>
      <w:marLeft w:val="0"/>
      <w:marRight w:val="0"/>
      <w:marTop w:val="0"/>
      <w:marBottom w:val="0"/>
      <w:divBdr>
        <w:top w:val="none" w:sz="0" w:space="0" w:color="auto"/>
        <w:left w:val="none" w:sz="0" w:space="0" w:color="auto"/>
        <w:bottom w:val="none" w:sz="0" w:space="0" w:color="auto"/>
        <w:right w:val="none" w:sz="0" w:space="0" w:color="auto"/>
      </w:divBdr>
    </w:div>
    <w:div w:id="587421247">
      <w:bodyDiv w:val="1"/>
      <w:marLeft w:val="0"/>
      <w:marRight w:val="0"/>
      <w:marTop w:val="0"/>
      <w:marBottom w:val="0"/>
      <w:divBdr>
        <w:top w:val="none" w:sz="0" w:space="0" w:color="auto"/>
        <w:left w:val="none" w:sz="0" w:space="0" w:color="auto"/>
        <w:bottom w:val="none" w:sz="0" w:space="0" w:color="auto"/>
        <w:right w:val="none" w:sz="0" w:space="0" w:color="auto"/>
      </w:divBdr>
    </w:div>
    <w:div w:id="594096369">
      <w:bodyDiv w:val="1"/>
      <w:marLeft w:val="0"/>
      <w:marRight w:val="0"/>
      <w:marTop w:val="0"/>
      <w:marBottom w:val="0"/>
      <w:divBdr>
        <w:top w:val="none" w:sz="0" w:space="0" w:color="auto"/>
        <w:left w:val="none" w:sz="0" w:space="0" w:color="auto"/>
        <w:bottom w:val="none" w:sz="0" w:space="0" w:color="auto"/>
        <w:right w:val="none" w:sz="0" w:space="0" w:color="auto"/>
      </w:divBdr>
    </w:div>
    <w:div w:id="598761025">
      <w:bodyDiv w:val="1"/>
      <w:marLeft w:val="0"/>
      <w:marRight w:val="0"/>
      <w:marTop w:val="0"/>
      <w:marBottom w:val="0"/>
      <w:divBdr>
        <w:top w:val="none" w:sz="0" w:space="0" w:color="auto"/>
        <w:left w:val="none" w:sz="0" w:space="0" w:color="auto"/>
        <w:bottom w:val="none" w:sz="0" w:space="0" w:color="auto"/>
        <w:right w:val="none" w:sz="0" w:space="0" w:color="auto"/>
      </w:divBdr>
    </w:div>
    <w:div w:id="606502588">
      <w:bodyDiv w:val="1"/>
      <w:marLeft w:val="0"/>
      <w:marRight w:val="0"/>
      <w:marTop w:val="0"/>
      <w:marBottom w:val="0"/>
      <w:divBdr>
        <w:top w:val="none" w:sz="0" w:space="0" w:color="auto"/>
        <w:left w:val="none" w:sz="0" w:space="0" w:color="auto"/>
        <w:bottom w:val="none" w:sz="0" w:space="0" w:color="auto"/>
        <w:right w:val="none" w:sz="0" w:space="0" w:color="auto"/>
      </w:divBdr>
    </w:div>
    <w:div w:id="612132747">
      <w:bodyDiv w:val="1"/>
      <w:marLeft w:val="0"/>
      <w:marRight w:val="0"/>
      <w:marTop w:val="0"/>
      <w:marBottom w:val="0"/>
      <w:divBdr>
        <w:top w:val="none" w:sz="0" w:space="0" w:color="auto"/>
        <w:left w:val="none" w:sz="0" w:space="0" w:color="auto"/>
        <w:bottom w:val="none" w:sz="0" w:space="0" w:color="auto"/>
        <w:right w:val="none" w:sz="0" w:space="0" w:color="auto"/>
      </w:divBdr>
    </w:div>
    <w:div w:id="612859439">
      <w:bodyDiv w:val="1"/>
      <w:marLeft w:val="0"/>
      <w:marRight w:val="0"/>
      <w:marTop w:val="0"/>
      <w:marBottom w:val="0"/>
      <w:divBdr>
        <w:top w:val="none" w:sz="0" w:space="0" w:color="auto"/>
        <w:left w:val="none" w:sz="0" w:space="0" w:color="auto"/>
        <w:bottom w:val="none" w:sz="0" w:space="0" w:color="auto"/>
        <w:right w:val="none" w:sz="0" w:space="0" w:color="auto"/>
      </w:divBdr>
    </w:div>
    <w:div w:id="614942405">
      <w:bodyDiv w:val="1"/>
      <w:marLeft w:val="0"/>
      <w:marRight w:val="0"/>
      <w:marTop w:val="0"/>
      <w:marBottom w:val="0"/>
      <w:divBdr>
        <w:top w:val="none" w:sz="0" w:space="0" w:color="auto"/>
        <w:left w:val="none" w:sz="0" w:space="0" w:color="auto"/>
        <w:bottom w:val="none" w:sz="0" w:space="0" w:color="auto"/>
        <w:right w:val="none" w:sz="0" w:space="0" w:color="auto"/>
      </w:divBdr>
    </w:div>
    <w:div w:id="621303971">
      <w:bodyDiv w:val="1"/>
      <w:marLeft w:val="0"/>
      <w:marRight w:val="0"/>
      <w:marTop w:val="0"/>
      <w:marBottom w:val="0"/>
      <w:divBdr>
        <w:top w:val="none" w:sz="0" w:space="0" w:color="auto"/>
        <w:left w:val="none" w:sz="0" w:space="0" w:color="auto"/>
        <w:bottom w:val="none" w:sz="0" w:space="0" w:color="auto"/>
        <w:right w:val="none" w:sz="0" w:space="0" w:color="auto"/>
      </w:divBdr>
    </w:div>
    <w:div w:id="621692370">
      <w:bodyDiv w:val="1"/>
      <w:marLeft w:val="0"/>
      <w:marRight w:val="0"/>
      <w:marTop w:val="0"/>
      <w:marBottom w:val="0"/>
      <w:divBdr>
        <w:top w:val="none" w:sz="0" w:space="0" w:color="auto"/>
        <w:left w:val="none" w:sz="0" w:space="0" w:color="auto"/>
        <w:bottom w:val="none" w:sz="0" w:space="0" w:color="auto"/>
        <w:right w:val="none" w:sz="0" w:space="0" w:color="auto"/>
      </w:divBdr>
    </w:div>
    <w:div w:id="621961117">
      <w:bodyDiv w:val="1"/>
      <w:marLeft w:val="0"/>
      <w:marRight w:val="0"/>
      <w:marTop w:val="0"/>
      <w:marBottom w:val="0"/>
      <w:divBdr>
        <w:top w:val="none" w:sz="0" w:space="0" w:color="auto"/>
        <w:left w:val="none" w:sz="0" w:space="0" w:color="auto"/>
        <w:bottom w:val="none" w:sz="0" w:space="0" w:color="auto"/>
        <w:right w:val="none" w:sz="0" w:space="0" w:color="auto"/>
      </w:divBdr>
    </w:div>
    <w:div w:id="625428388">
      <w:bodyDiv w:val="1"/>
      <w:marLeft w:val="0"/>
      <w:marRight w:val="0"/>
      <w:marTop w:val="0"/>
      <w:marBottom w:val="0"/>
      <w:divBdr>
        <w:top w:val="none" w:sz="0" w:space="0" w:color="auto"/>
        <w:left w:val="none" w:sz="0" w:space="0" w:color="auto"/>
        <w:bottom w:val="none" w:sz="0" w:space="0" w:color="auto"/>
        <w:right w:val="none" w:sz="0" w:space="0" w:color="auto"/>
      </w:divBdr>
    </w:div>
    <w:div w:id="625741590">
      <w:bodyDiv w:val="1"/>
      <w:marLeft w:val="0"/>
      <w:marRight w:val="0"/>
      <w:marTop w:val="0"/>
      <w:marBottom w:val="0"/>
      <w:divBdr>
        <w:top w:val="none" w:sz="0" w:space="0" w:color="auto"/>
        <w:left w:val="none" w:sz="0" w:space="0" w:color="auto"/>
        <w:bottom w:val="none" w:sz="0" w:space="0" w:color="auto"/>
        <w:right w:val="none" w:sz="0" w:space="0" w:color="auto"/>
      </w:divBdr>
    </w:div>
    <w:div w:id="630672149">
      <w:bodyDiv w:val="1"/>
      <w:marLeft w:val="0"/>
      <w:marRight w:val="0"/>
      <w:marTop w:val="0"/>
      <w:marBottom w:val="0"/>
      <w:divBdr>
        <w:top w:val="none" w:sz="0" w:space="0" w:color="auto"/>
        <w:left w:val="none" w:sz="0" w:space="0" w:color="auto"/>
        <w:bottom w:val="none" w:sz="0" w:space="0" w:color="auto"/>
        <w:right w:val="none" w:sz="0" w:space="0" w:color="auto"/>
      </w:divBdr>
    </w:div>
    <w:div w:id="650906374">
      <w:bodyDiv w:val="1"/>
      <w:marLeft w:val="0"/>
      <w:marRight w:val="0"/>
      <w:marTop w:val="0"/>
      <w:marBottom w:val="0"/>
      <w:divBdr>
        <w:top w:val="none" w:sz="0" w:space="0" w:color="auto"/>
        <w:left w:val="none" w:sz="0" w:space="0" w:color="auto"/>
        <w:bottom w:val="none" w:sz="0" w:space="0" w:color="auto"/>
        <w:right w:val="none" w:sz="0" w:space="0" w:color="auto"/>
      </w:divBdr>
    </w:div>
    <w:div w:id="654339138">
      <w:bodyDiv w:val="1"/>
      <w:marLeft w:val="0"/>
      <w:marRight w:val="0"/>
      <w:marTop w:val="0"/>
      <w:marBottom w:val="0"/>
      <w:divBdr>
        <w:top w:val="none" w:sz="0" w:space="0" w:color="auto"/>
        <w:left w:val="none" w:sz="0" w:space="0" w:color="auto"/>
        <w:bottom w:val="none" w:sz="0" w:space="0" w:color="auto"/>
        <w:right w:val="none" w:sz="0" w:space="0" w:color="auto"/>
      </w:divBdr>
    </w:div>
    <w:div w:id="655689151">
      <w:bodyDiv w:val="1"/>
      <w:marLeft w:val="0"/>
      <w:marRight w:val="0"/>
      <w:marTop w:val="0"/>
      <w:marBottom w:val="0"/>
      <w:divBdr>
        <w:top w:val="none" w:sz="0" w:space="0" w:color="auto"/>
        <w:left w:val="none" w:sz="0" w:space="0" w:color="auto"/>
        <w:bottom w:val="none" w:sz="0" w:space="0" w:color="auto"/>
        <w:right w:val="none" w:sz="0" w:space="0" w:color="auto"/>
      </w:divBdr>
    </w:div>
    <w:div w:id="657659558">
      <w:bodyDiv w:val="1"/>
      <w:marLeft w:val="0"/>
      <w:marRight w:val="0"/>
      <w:marTop w:val="0"/>
      <w:marBottom w:val="0"/>
      <w:divBdr>
        <w:top w:val="none" w:sz="0" w:space="0" w:color="auto"/>
        <w:left w:val="none" w:sz="0" w:space="0" w:color="auto"/>
        <w:bottom w:val="none" w:sz="0" w:space="0" w:color="auto"/>
        <w:right w:val="none" w:sz="0" w:space="0" w:color="auto"/>
      </w:divBdr>
    </w:div>
    <w:div w:id="659306905">
      <w:bodyDiv w:val="1"/>
      <w:marLeft w:val="0"/>
      <w:marRight w:val="0"/>
      <w:marTop w:val="0"/>
      <w:marBottom w:val="0"/>
      <w:divBdr>
        <w:top w:val="none" w:sz="0" w:space="0" w:color="auto"/>
        <w:left w:val="none" w:sz="0" w:space="0" w:color="auto"/>
        <w:bottom w:val="none" w:sz="0" w:space="0" w:color="auto"/>
        <w:right w:val="none" w:sz="0" w:space="0" w:color="auto"/>
      </w:divBdr>
    </w:div>
    <w:div w:id="660239563">
      <w:bodyDiv w:val="1"/>
      <w:marLeft w:val="0"/>
      <w:marRight w:val="0"/>
      <w:marTop w:val="0"/>
      <w:marBottom w:val="0"/>
      <w:divBdr>
        <w:top w:val="none" w:sz="0" w:space="0" w:color="auto"/>
        <w:left w:val="none" w:sz="0" w:space="0" w:color="auto"/>
        <w:bottom w:val="none" w:sz="0" w:space="0" w:color="auto"/>
        <w:right w:val="none" w:sz="0" w:space="0" w:color="auto"/>
      </w:divBdr>
    </w:div>
    <w:div w:id="666592047">
      <w:bodyDiv w:val="1"/>
      <w:marLeft w:val="0"/>
      <w:marRight w:val="0"/>
      <w:marTop w:val="0"/>
      <w:marBottom w:val="0"/>
      <w:divBdr>
        <w:top w:val="none" w:sz="0" w:space="0" w:color="auto"/>
        <w:left w:val="none" w:sz="0" w:space="0" w:color="auto"/>
        <w:bottom w:val="none" w:sz="0" w:space="0" w:color="auto"/>
        <w:right w:val="none" w:sz="0" w:space="0" w:color="auto"/>
      </w:divBdr>
    </w:div>
    <w:div w:id="675615416">
      <w:bodyDiv w:val="1"/>
      <w:marLeft w:val="0"/>
      <w:marRight w:val="0"/>
      <w:marTop w:val="0"/>
      <w:marBottom w:val="0"/>
      <w:divBdr>
        <w:top w:val="none" w:sz="0" w:space="0" w:color="auto"/>
        <w:left w:val="none" w:sz="0" w:space="0" w:color="auto"/>
        <w:bottom w:val="none" w:sz="0" w:space="0" w:color="auto"/>
        <w:right w:val="none" w:sz="0" w:space="0" w:color="auto"/>
      </w:divBdr>
    </w:div>
    <w:div w:id="678124118">
      <w:bodyDiv w:val="1"/>
      <w:marLeft w:val="0"/>
      <w:marRight w:val="0"/>
      <w:marTop w:val="0"/>
      <w:marBottom w:val="0"/>
      <w:divBdr>
        <w:top w:val="none" w:sz="0" w:space="0" w:color="auto"/>
        <w:left w:val="none" w:sz="0" w:space="0" w:color="auto"/>
        <w:bottom w:val="none" w:sz="0" w:space="0" w:color="auto"/>
        <w:right w:val="none" w:sz="0" w:space="0" w:color="auto"/>
      </w:divBdr>
    </w:div>
    <w:div w:id="681861593">
      <w:bodyDiv w:val="1"/>
      <w:marLeft w:val="0"/>
      <w:marRight w:val="0"/>
      <w:marTop w:val="0"/>
      <w:marBottom w:val="0"/>
      <w:divBdr>
        <w:top w:val="none" w:sz="0" w:space="0" w:color="auto"/>
        <w:left w:val="none" w:sz="0" w:space="0" w:color="auto"/>
        <w:bottom w:val="none" w:sz="0" w:space="0" w:color="auto"/>
        <w:right w:val="none" w:sz="0" w:space="0" w:color="auto"/>
      </w:divBdr>
    </w:div>
    <w:div w:id="683436364">
      <w:bodyDiv w:val="1"/>
      <w:marLeft w:val="0"/>
      <w:marRight w:val="0"/>
      <w:marTop w:val="0"/>
      <w:marBottom w:val="0"/>
      <w:divBdr>
        <w:top w:val="none" w:sz="0" w:space="0" w:color="auto"/>
        <w:left w:val="none" w:sz="0" w:space="0" w:color="auto"/>
        <w:bottom w:val="none" w:sz="0" w:space="0" w:color="auto"/>
        <w:right w:val="none" w:sz="0" w:space="0" w:color="auto"/>
      </w:divBdr>
    </w:div>
    <w:div w:id="688532540">
      <w:bodyDiv w:val="1"/>
      <w:marLeft w:val="0"/>
      <w:marRight w:val="0"/>
      <w:marTop w:val="0"/>
      <w:marBottom w:val="0"/>
      <w:divBdr>
        <w:top w:val="none" w:sz="0" w:space="0" w:color="auto"/>
        <w:left w:val="none" w:sz="0" w:space="0" w:color="auto"/>
        <w:bottom w:val="none" w:sz="0" w:space="0" w:color="auto"/>
        <w:right w:val="none" w:sz="0" w:space="0" w:color="auto"/>
      </w:divBdr>
    </w:div>
    <w:div w:id="688801716">
      <w:bodyDiv w:val="1"/>
      <w:marLeft w:val="0"/>
      <w:marRight w:val="0"/>
      <w:marTop w:val="0"/>
      <w:marBottom w:val="0"/>
      <w:divBdr>
        <w:top w:val="none" w:sz="0" w:space="0" w:color="auto"/>
        <w:left w:val="none" w:sz="0" w:space="0" w:color="auto"/>
        <w:bottom w:val="none" w:sz="0" w:space="0" w:color="auto"/>
        <w:right w:val="none" w:sz="0" w:space="0" w:color="auto"/>
      </w:divBdr>
    </w:div>
    <w:div w:id="699478752">
      <w:bodyDiv w:val="1"/>
      <w:marLeft w:val="0"/>
      <w:marRight w:val="0"/>
      <w:marTop w:val="0"/>
      <w:marBottom w:val="0"/>
      <w:divBdr>
        <w:top w:val="none" w:sz="0" w:space="0" w:color="auto"/>
        <w:left w:val="none" w:sz="0" w:space="0" w:color="auto"/>
        <w:bottom w:val="none" w:sz="0" w:space="0" w:color="auto"/>
        <w:right w:val="none" w:sz="0" w:space="0" w:color="auto"/>
      </w:divBdr>
    </w:div>
    <w:div w:id="701252753">
      <w:bodyDiv w:val="1"/>
      <w:marLeft w:val="0"/>
      <w:marRight w:val="0"/>
      <w:marTop w:val="0"/>
      <w:marBottom w:val="0"/>
      <w:divBdr>
        <w:top w:val="none" w:sz="0" w:space="0" w:color="auto"/>
        <w:left w:val="none" w:sz="0" w:space="0" w:color="auto"/>
        <w:bottom w:val="none" w:sz="0" w:space="0" w:color="auto"/>
        <w:right w:val="none" w:sz="0" w:space="0" w:color="auto"/>
      </w:divBdr>
    </w:div>
    <w:div w:id="702636654">
      <w:bodyDiv w:val="1"/>
      <w:marLeft w:val="0"/>
      <w:marRight w:val="0"/>
      <w:marTop w:val="0"/>
      <w:marBottom w:val="0"/>
      <w:divBdr>
        <w:top w:val="none" w:sz="0" w:space="0" w:color="auto"/>
        <w:left w:val="none" w:sz="0" w:space="0" w:color="auto"/>
        <w:bottom w:val="none" w:sz="0" w:space="0" w:color="auto"/>
        <w:right w:val="none" w:sz="0" w:space="0" w:color="auto"/>
      </w:divBdr>
    </w:div>
    <w:div w:id="704865165">
      <w:bodyDiv w:val="1"/>
      <w:marLeft w:val="0"/>
      <w:marRight w:val="0"/>
      <w:marTop w:val="0"/>
      <w:marBottom w:val="0"/>
      <w:divBdr>
        <w:top w:val="none" w:sz="0" w:space="0" w:color="auto"/>
        <w:left w:val="none" w:sz="0" w:space="0" w:color="auto"/>
        <w:bottom w:val="none" w:sz="0" w:space="0" w:color="auto"/>
        <w:right w:val="none" w:sz="0" w:space="0" w:color="auto"/>
      </w:divBdr>
    </w:div>
    <w:div w:id="706298158">
      <w:bodyDiv w:val="1"/>
      <w:marLeft w:val="0"/>
      <w:marRight w:val="0"/>
      <w:marTop w:val="0"/>
      <w:marBottom w:val="0"/>
      <w:divBdr>
        <w:top w:val="none" w:sz="0" w:space="0" w:color="auto"/>
        <w:left w:val="none" w:sz="0" w:space="0" w:color="auto"/>
        <w:bottom w:val="none" w:sz="0" w:space="0" w:color="auto"/>
        <w:right w:val="none" w:sz="0" w:space="0" w:color="auto"/>
      </w:divBdr>
    </w:div>
    <w:div w:id="707029130">
      <w:bodyDiv w:val="1"/>
      <w:marLeft w:val="0"/>
      <w:marRight w:val="0"/>
      <w:marTop w:val="0"/>
      <w:marBottom w:val="0"/>
      <w:divBdr>
        <w:top w:val="none" w:sz="0" w:space="0" w:color="auto"/>
        <w:left w:val="none" w:sz="0" w:space="0" w:color="auto"/>
        <w:bottom w:val="none" w:sz="0" w:space="0" w:color="auto"/>
        <w:right w:val="none" w:sz="0" w:space="0" w:color="auto"/>
      </w:divBdr>
    </w:div>
    <w:div w:id="708452914">
      <w:bodyDiv w:val="1"/>
      <w:marLeft w:val="0"/>
      <w:marRight w:val="0"/>
      <w:marTop w:val="0"/>
      <w:marBottom w:val="0"/>
      <w:divBdr>
        <w:top w:val="none" w:sz="0" w:space="0" w:color="auto"/>
        <w:left w:val="none" w:sz="0" w:space="0" w:color="auto"/>
        <w:bottom w:val="none" w:sz="0" w:space="0" w:color="auto"/>
        <w:right w:val="none" w:sz="0" w:space="0" w:color="auto"/>
      </w:divBdr>
    </w:div>
    <w:div w:id="710107837">
      <w:bodyDiv w:val="1"/>
      <w:marLeft w:val="0"/>
      <w:marRight w:val="0"/>
      <w:marTop w:val="0"/>
      <w:marBottom w:val="0"/>
      <w:divBdr>
        <w:top w:val="none" w:sz="0" w:space="0" w:color="auto"/>
        <w:left w:val="none" w:sz="0" w:space="0" w:color="auto"/>
        <w:bottom w:val="none" w:sz="0" w:space="0" w:color="auto"/>
        <w:right w:val="none" w:sz="0" w:space="0" w:color="auto"/>
      </w:divBdr>
    </w:div>
    <w:div w:id="711687235">
      <w:bodyDiv w:val="1"/>
      <w:marLeft w:val="0"/>
      <w:marRight w:val="0"/>
      <w:marTop w:val="0"/>
      <w:marBottom w:val="0"/>
      <w:divBdr>
        <w:top w:val="none" w:sz="0" w:space="0" w:color="auto"/>
        <w:left w:val="none" w:sz="0" w:space="0" w:color="auto"/>
        <w:bottom w:val="none" w:sz="0" w:space="0" w:color="auto"/>
        <w:right w:val="none" w:sz="0" w:space="0" w:color="auto"/>
      </w:divBdr>
    </w:div>
    <w:div w:id="715739093">
      <w:bodyDiv w:val="1"/>
      <w:marLeft w:val="0"/>
      <w:marRight w:val="0"/>
      <w:marTop w:val="0"/>
      <w:marBottom w:val="0"/>
      <w:divBdr>
        <w:top w:val="none" w:sz="0" w:space="0" w:color="auto"/>
        <w:left w:val="none" w:sz="0" w:space="0" w:color="auto"/>
        <w:bottom w:val="none" w:sz="0" w:space="0" w:color="auto"/>
        <w:right w:val="none" w:sz="0" w:space="0" w:color="auto"/>
      </w:divBdr>
    </w:div>
    <w:div w:id="715816624">
      <w:bodyDiv w:val="1"/>
      <w:marLeft w:val="0"/>
      <w:marRight w:val="0"/>
      <w:marTop w:val="0"/>
      <w:marBottom w:val="0"/>
      <w:divBdr>
        <w:top w:val="none" w:sz="0" w:space="0" w:color="auto"/>
        <w:left w:val="none" w:sz="0" w:space="0" w:color="auto"/>
        <w:bottom w:val="none" w:sz="0" w:space="0" w:color="auto"/>
        <w:right w:val="none" w:sz="0" w:space="0" w:color="auto"/>
      </w:divBdr>
    </w:div>
    <w:div w:id="716860593">
      <w:bodyDiv w:val="1"/>
      <w:marLeft w:val="0"/>
      <w:marRight w:val="0"/>
      <w:marTop w:val="0"/>
      <w:marBottom w:val="0"/>
      <w:divBdr>
        <w:top w:val="none" w:sz="0" w:space="0" w:color="auto"/>
        <w:left w:val="none" w:sz="0" w:space="0" w:color="auto"/>
        <w:bottom w:val="none" w:sz="0" w:space="0" w:color="auto"/>
        <w:right w:val="none" w:sz="0" w:space="0" w:color="auto"/>
      </w:divBdr>
    </w:div>
    <w:div w:id="720447889">
      <w:bodyDiv w:val="1"/>
      <w:marLeft w:val="0"/>
      <w:marRight w:val="0"/>
      <w:marTop w:val="0"/>
      <w:marBottom w:val="0"/>
      <w:divBdr>
        <w:top w:val="none" w:sz="0" w:space="0" w:color="auto"/>
        <w:left w:val="none" w:sz="0" w:space="0" w:color="auto"/>
        <w:bottom w:val="none" w:sz="0" w:space="0" w:color="auto"/>
        <w:right w:val="none" w:sz="0" w:space="0" w:color="auto"/>
      </w:divBdr>
    </w:div>
    <w:div w:id="722172513">
      <w:bodyDiv w:val="1"/>
      <w:marLeft w:val="0"/>
      <w:marRight w:val="0"/>
      <w:marTop w:val="0"/>
      <w:marBottom w:val="0"/>
      <w:divBdr>
        <w:top w:val="none" w:sz="0" w:space="0" w:color="auto"/>
        <w:left w:val="none" w:sz="0" w:space="0" w:color="auto"/>
        <w:bottom w:val="none" w:sz="0" w:space="0" w:color="auto"/>
        <w:right w:val="none" w:sz="0" w:space="0" w:color="auto"/>
      </w:divBdr>
    </w:div>
    <w:div w:id="722679945">
      <w:bodyDiv w:val="1"/>
      <w:marLeft w:val="0"/>
      <w:marRight w:val="0"/>
      <w:marTop w:val="0"/>
      <w:marBottom w:val="0"/>
      <w:divBdr>
        <w:top w:val="none" w:sz="0" w:space="0" w:color="auto"/>
        <w:left w:val="none" w:sz="0" w:space="0" w:color="auto"/>
        <w:bottom w:val="none" w:sz="0" w:space="0" w:color="auto"/>
        <w:right w:val="none" w:sz="0" w:space="0" w:color="auto"/>
      </w:divBdr>
    </w:div>
    <w:div w:id="731582593">
      <w:bodyDiv w:val="1"/>
      <w:marLeft w:val="0"/>
      <w:marRight w:val="0"/>
      <w:marTop w:val="0"/>
      <w:marBottom w:val="0"/>
      <w:divBdr>
        <w:top w:val="none" w:sz="0" w:space="0" w:color="auto"/>
        <w:left w:val="none" w:sz="0" w:space="0" w:color="auto"/>
        <w:bottom w:val="none" w:sz="0" w:space="0" w:color="auto"/>
        <w:right w:val="none" w:sz="0" w:space="0" w:color="auto"/>
      </w:divBdr>
    </w:div>
    <w:div w:id="732892772">
      <w:bodyDiv w:val="1"/>
      <w:marLeft w:val="0"/>
      <w:marRight w:val="0"/>
      <w:marTop w:val="0"/>
      <w:marBottom w:val="0"/>
      <w:divBdr>
        <w:top w:val="none" w:sz="0" w:space="0" w:color="auto"/>
        <w:left w:val="none" w:sz="0" w:space="0" w:color="auto"/>
        <w:bottom w:val="none" w:sz="0" w:space="0" w:color="auto"/>
        <w:right w:val="none" w:sz="0" w:space="0" w:color="auto"/>
      </w:divBdr>
    </w:div>
    <w:div w:id="737636444">
      <w:bodyDiv w:val="1"/>
      <w:marLeft w:val="0"/>
      <w:marRight w:val="0"/>
      <w:marTop w:val="0"/>
      <w:marBottom w:val="0"/>
      <w:divBdr>
        <w:top w:val="none" w:sz="0" w:space="0" w:color="auto"/>
        <w:left w:val="none" w:sz="0" w:space="0" w:color="auto"/>
        <w:bottom w:val="none" w:sz="0" w:space="0" w:color="auto"/>
        <w:right w:val="none" w:sz="0" w:space="0" w:color="auto"/>
      </w:divBdr>
    </w:div>
    <w:div w:id="739137486">
      <w:bodyDiv w:val="1"/>
      <w:marLeft w:val="0"/>
      <w:marRight w:val="0"/>
      <w:marTop w:val="0"/>
      <w:marBottom w:val="0"/>
      <w:divBdr>
        <w:top w:val="none" w:sz="0" w:space="0" w:color="auto"/>
        <w:left w:val="none" w:sz="0" w:space="0" w:color="auto"/>
        <w:bottom w:val="none" w:sz="0" w:space="0" w:color="auto"/>
        <w:right w:val="none" w:sz="0" w:space="0" w:color="auto"/>
      </w:divBdr>
    </w:div>
    <w:div w:id="739257370">
      <w:bodyDiv w:val="1"/>
      <w:marLeft w:val="0"/>
      <w:marRight w:val="0"/>
      <w:marTop w:val="0"/>
      <w:marBottom w:val="0"/>
      <w:divBdr>
        <w:top w:val="none" w:sz="0" w:space="0" w:color="auto"/>
        <w:left w:val="none" w:sz="0" w:space="0" w:color="auto"/>
        <w:bottom w:val="none" w:sz="0" w:space="0" w:color="auto"/>
        <w:right w:val="none" w:sz="0" w:space="0" w:color="auto"/>
      </w:divBdr>
    </w:div>
    <w:div w:id="745149353">
      <w:bodyDiv w:val="1"/>
      <w:marLeft w:val="0"/>
      <w:marRight w:val="0"/>
      <w:marTop w:val="0"/>
      <w:marBottom w:val="0"/>
      <w:divBdr>
        <w:top w:val="none" w:sz="0" w:space="0" w:color="auto"/>
        <w:left w:val="none" w:sz="0" w:space="0" w:color="auto"/>
        <w:bottom w:val="none" w:sz="0" w:space="0" w:color="auto"/>
        <w:right w:val="none" w:sz="0" w:space="0" w:color="auto"/>
      </w:divBdr>
    </w:div>
    <w:div w:id="747653916">
      <w:bodyDiv w:val="1"/>
      <w:marLeft w:val="0"/>
      <w:marRight w:val="0"/>
      <w:marTop w:val="0"/>
      <w:marBottom w:val="0"/>
      <w:divBdr>
        <w:top w:val="none" w:sz="0" w:space="0" w:color="auto"/>
        <w:left w:val="none" w:sz="0" w:space="0" w:color="auto"/>
        <w:bottom w:val="none" w:sz="0" w:space="0" w:color="auto"/>
        <w:right w:val="none" w:sz="0" w:space="0" w:color="auto"/>
      </w:divBdr>
    </w:div>
    <w:div w:id="750856030">
      <w:bodyDiv w:val="1"/>
      <w:marLeft w:val="0"/>
      <w:marRight w:val="0"/>
      <w:marTop w:val="0"/>
      <w:marBottom w:val="0"/>
      <w:divBdr>
        <w:top w:val="none" w:sz="0" w:space="0" w:color="auto"/>
        <w:left w:val="none" w:sz="0" w:space="0" w:color="auto"/>
        <w:bottom w:val="none" w:sz="0" w:space="0" w:color="auto"/>
        <w:right w:val="none" w:sz="0" w:space="0" w:color="auto"/>
      </w:divBdr>
    </w:div>
    <w:div w:id="759179681">
      <w:bodyDiv w:val="1"/>
      <w:marLeft w:val="0"/>
      <w:marRight w:val="0"/>
      <w:marTop w:val="0"/>
      <w:marBottom w:val="0"/>
      <w:divBdr>
        <w:top w:val="none" w:sz="0" w:space="0" w:color="auto"/>
        <w:left w:val="none" w:sz="0" w:space="0" w:color="auto"/>
        <w:bottom w:val="none" w:sz="0" w:space="0" w:color="auto"/>
        <w:right w:val="none" w:sz="0" w:space="0" w:color="auto"/>
      </w:divBdr>
    </w:div>
    <w:div w:id="772046459">
      <w:bodyDiv w:val="1"/>
      <w:marLeft w:val="0"/>
      <w:marRight w:val="0"/>
      <w:marTop w:val="0"/>
      <w:marBottom w:val="0"/>
      <w:divBdr>
        <w:top w:val="none" w:sz="0" w:space="0" w:color="auto"/>
        <w:left w:val="none" w:sz="0" w:space="0" w:color="auto"/>
        <w:bottom w:val="none" w:sz="0" w:space="0" w:color="auto"/>
        <w:right w:val="none" w:sz="0" w:space="0" w:color="auto"/>
      </w:divBdr>
    </w:div>
    <w:div w:id="779954865">
      <w:bodyDiv w:val="1"/>
      <w:marLeft w:val="0"/>
      <w:marRight w:val="0"/>
      <w:marTop w:val="0"/>
      <w:marBottom w:val="0"/>
      <w:divBdr>
        <w:top w:val="none" w:sz="0" w:space="0" w:color="auto"/>
        <w:left w:val="none" w:sz="0" w:space="0" w:color="auto"/>
        <w:bottom w:val="none" w:sz="0" w:space="0" w:color="auto"/>
        <w:right w:val="none" w:sz="0" w:space="0" w:color="auto"/>
      </w:divBdr>
    </w:div>
    <w:div w:id="787969686">
      <w:bodyDiv w:val="1"/>
      <w:marLeft w:val="0"/>
      <w:marRight w:val="0"/>
      <w:marTop w:val="0"/>
      <w:marBottom w:val="0"/>
      <w:divBdr>
        <w:top w:val="none" w:sz="0" w:space="0" w:color="auto"/>
        <w:left w:val="none" w:sz="0" w:space="0" w:color="auto"/>
        <w:bottom w:val="none" w:sz="0" w:space="0" w:color="auto"/>
        <w:right w:val="none" w:sz="0" w:space="0" w:color="auto"/>
      </w:divBdr>
    </w:div>
    <w:div w:id="798108875">
      <w:bodyDiv w:val="1"/>
      <w:marLeft w:val="0"/>
      <w:marRight w:val="0"/>
      <w:marTop w:val="0"/>
      <w:marBottom w:val="0"/>
      <w:divBdr>
        <w:top w:val="none" w:sz="0" w:space="0" w:color="auto"/>
        <w:left w:val="none" w:sz="0" w:space="0" w:color="auto"/>
        <w:bottom w:val="none" w:sz="0" w:space="0" w:color="auto"/>
        <w:right w:val="none" w:sz="0" w:space="0" w:color="auto"/>
      </w:divBdr>
    </w:div>
    <w:div w:id="803693805">
      <w:bodyDiv w:val="1"/>
      <w:marLeft w:val="0"/>
      <w:marRight w:val="0"/>
      <w:marTop w:val="0"/>
      <w:marBottom w:val="0"/>
      <w:divBdr>
        <w:top w:val="none" w:sz="0" w:space="0" w:color="auto"/>
        <w:left w:val="none" w:sz="0" w:space="0" w:color="auto"/>
        <w:bottom w:val="none" w:sz="0" w:space="0" w:color="auto"/>
        <w:right w:val="none" w:sz="0" w:space="0" w:color="auto"/>
      </w:divBdr>
    </w:div>
    <w:div w:id="805513407">
      <w:bodyDiv w:val="1"/>
      <w:marLeft w:val="0"/>
      <w:marRight w:val="0"/>
      <w:marTop w:val="0"/>
      <w:marBottom w:val="0"/>
      <w:divBdr>
        <w:top w:val="none" w:sz="0" w:space="0" w:color="auto"/>
        <w:left w:val="none" w:sz="0" w:space="0" w:color="auto"/>
        <w:bottom w:val="none" w:sz="0" w:space="0" w:color="auto"/>
        <w:right w:val="none" w:sz="0" w:space="0" w:color="auto"/>
      </w:divBdr>
    </w:div>
    <w:div w:id="812908676">
      <w:bodyDiv w:val="1"/>
      <w:marLeft w:val="0"/>
      <w:marRight w:val="0"/>
      <w:marTop w:val="0"/>
      <w:marBottom w:val="0"/>
      <w:divBdr>
        <w:top w:val="none" w:sz="0" w:space="0" w:color="auto"/>
        <w:left w:val="none" w:sz="0" w:space="0" w:color="auto"/>
        <w:bottom w:val="none" w:sz="0" w:space="0" w:color="auto"/>
        <w:right w:val="none" w:sz="0" w:space="0" w:color="auto"/>
      </w:divBdr>
    </w:div>
    <w:div w:id="818957856">
      <w:bodyDiv w:val="1"/>
      <w:marLeft w:val="0"/>
      <w:marRight w:val="0"/>
      <w:marTop w:val="0"/>
      <w:marBottom w:val="0"/>
      <w:divBdr>
        <w:top w:val="none" w:sz="0" w:space="0" w:color="auto"/>
        <w:left w:val="none" w:sz="0" w:space="0" w:color="auto"/>
        <w:bottom w:val="none" w:sz="0" w:space="0" w:color="auto"/>
        <w:right w:val="none" w:sz="0" w:space="0" w:color="auto"/>
      </w:divBdr>
    </w:div>
    <w:div w:id="824976667">
      <w:bodyDiv w:val="1"/>
      <w:marLeft w:val="0"/>
      <w:marRight w:val="0"/>
      <w:marTop w:val="0"/>
      <w:marBottom w:val="0"/>
      <w:divBdr>
        <w:top w:val="none" w:sz="0" w:space="0" w:color="auto"/>
        <w:left w:val="none" w:sz="0" w:space="0" w:color="auto"/>
        <w:bottom w:val="none" w:sz="0" w:space="0" w:color="auto"/>
        <w:right w:val="none" w:sz="0" w:space="0" w:color="auto"/>
      </w:divBdr>
    </w:div>
    <w:div w:id="825898381">
      <w:bodyDiv w:val="1"/>
      <w:marLeft w:val="0"/>
      <w:marRight w:val="0"/>
      <w:marTop w:val="0"/>
      <w:marBottom w:val="0"/>
      <w:divBdr>
        <w:top w:val="none" w:sz="0" w:space="0" w:color="auto"/>
        <w:left w:val="none" w:sz="0" w:space="0" w:color="auto"/>
        <w:bottom w:val="none" w:sz="0" w:space="0" w:color="auto"/>
        <w:right w:val="none" w:sz="0" w:space="0" w:color="auto"/>
      </w:divBdr>
    </w:div>
    <w:div w:id="826750792">
      <w:bodyDiv w:val="1"/>
      <w:marLeft w:val="0"/>
      <w:marRight w:val="0"/>
      <w:marTop w:val="0"/>
      <w:marBottom w:val="0"/>
      <w:divBdr>
        <w:top w:val="none" w:sz="0" w:space="0" w:color="auto"/>
        <w:left w:val="none" w:sz="0" w:space="0" w:color="auto"/>
        <w:bottom w:val="none" w:sz="0" w:space="0" w:color="auto"/>
        <w:right w:val="none" w:sz="0" w:space="0" w:color="auto"/>
      </w:divBdr>
    </w:div>
    <w:div w:id="826897534">
      <w:bodyDiv w:val="1"/>
      <w:marLeft w:val="0"/>
      <w:marRight w:val="0"/>
      <w:marTop w:val="0"/>
      <w:marBottom w:val="0"/>
      <w:divBdr>
        <w:top w:val="none" w:sz="0" w:space="0" w:color="auto"/>
        <w:left w:val="none" w:sz="0" w:space="0" w:color="auto"/>
        <w:bottom w:val="none" w:sz="0" w:space="0" w:color="auto"/>
        <w:right w:val="none" w:sz="0" w:space="0" w:color="auto"/>
      </w:divBdr>
    </w:div>
    <w:div w:id="829254722">
      <w:bodyDiv w:val="1"/>
      <w:marLeft w:val="0"/>
      <w:marRight w:val="0"/>
      <w:marTop w:val="0"/>
      <w:marBottom w:val="0"/>
      <w:divBdr>
        <w:top w:val="none" w:sz="0" w:space="0" w:color="auto"/>
        <w:left w:val="none" w:sz="0" w:space="0" w:color="auto"/>
        <w:bottom w:val="none" w:sz="0" w:space="0" w:color="auto"/>
        <w:right w:val="none" w:sz="0" w:space="0" w:color="auto"/>
      </w:divBdr>
    </w:div>
    <w:div w:id="834995104">
      <w:bodyDiv w:val="1"/>
      <w:marLeft w:val="0"/>
      <w:marRight w:val="0"/>
      <w:marTop w:val="0"/>
      <w:marBottom w:val="0"/>
      <w:divBdr>
        <w:top w:val="none" w:sz="0" w:space="0" w:color="auto"/>
        <w:left w:val="none" w:sz="0" w:space="0" w:color="auto"/>
        <w:bottom w:val="none" w:sz="0" w:space="0" w:color="auto"/>
        <w:right w:val="none" w:sz="0" w:space="0" w:color="auto"/>
      </w:divBdr>
    </w:div>
    <w:div w:id="835538738">
      <w:bodyDiv w:val="1"/>
      <w:marLeft w:val="0"/>
      <w:marRight w:val="0"/>
      <w:marTop w:val="0"/>
      <w:marBottom w:val="0"/>
      <w:divBdr>
        <w:top w:val="none" w:sz="0" w:space="0" w:color="auto"/>
        <w:left w:val="none" w:sz="0" w:space="0" w:color="auto"/>
        <w:bottom w:val="none" w:sz="0" w:space="0" w:color="auto"/>
        <w:right w:val="none" w:sz="0" w:space="0" w:color="auto"/>
      </w:divBdr>
    </w:div>
    <w:div w:id="838347176">
      <w:bodyDiv w:val="1"/>
      <w:marLeft w:val="0"/>
      <w:marRight w:val="0"/>
      <w:marTop w:val="0"/>
      <w:marBottom w:val="0"/>
      <w:divBdr>
        <w:top w:val="none" w:sz="0" w:space="0" w:color="auto"/>
        <w:left w:val="none" w:sz="0" w:space="0" w:color="auto"/>
        <w:bottom w:val="none" w:sz="0" w:space="0" w:color="auto"/>
        <w:right w:val="none" w:sz="0" w:space="0" w:color="auto"/>
      </w:divBdr>
    </w:div>
    <w:div w:id="839658181">
      <w:bodyDiv w:val="1"/>
      <w:marLeft w:val="0"/>
      <w:marRight w:val="0"/>
      <w:marTop w:val="0"/>
      <w:marBottom w:val="0"/>
      <w:divBdr>
        <w:top w:val="none" w:sz="0" w:space="0" w:color="auto"/>
        <w:left w:val="none" w:sz="0" w:space="0" w:color="auto"/>
        <w:bottom w:val="none" w:sz="0" w:space="0" w:color="auto"/>
        <w:right w:val="none" w:sz="0" w:space="0" w:color="auto"/>
      </w:divBdr>
    </w:div>
    <w:div w:id="841579561">
      <w:bodyDiv w:val="1"/>
      <w:marLeft w:val="0"/>
      <w:marRight w:val="0"/>
      <w:marTop w:val="0"/>
      <w:marBottom w:val="0"/>
      <w:divBdr>
        <w:top w:val="none" w:sz="0" w:space="0" w:color="auto"/>
        <w:left w:val="none" w:sz="0" w:space="0" w:color="auto"/>
        <w:bottom w:val="none" w:sz="0" w:space="0" w:color="auto"/>
        <w:right w:val="none" w:sz="0" w:space="0" w:color="auto"/>
      </w:divBdr>
    </w:div>
    <w:div w:id="843319277">
      <w:bodyDiv w:val="1"/>
      <w:marLeft w:val="0"/>
      <w:marRight w:val="0"/>
      <w:marTop w:val="0"/>
      <w:marBottom w:val="0"/>
      <w:divBdr>
        <w:top w:val="none" w:sz="0" w:space="0" w:color="auto"/>
        <w:left w:val="none" w:sz="0" w:space="0" w:color="auto"/>
        <w:bottom w:val="none" w:sz="0" w:space="0" w:color="auto"/>
        <w:right w:val="none" w:sz="0" w:space="0" w:color="auto"/>
      </w:divBdr>
    </w:div>
    <w:div w:id="845678735">
      <w:bodyDiv w:val="1"/>
      <w:marLeft w:val="0"/>
      <w:marRight w:val="0"/>
      <w:marTop w:val="0"/>
      <w:marBottom w:val="0"/>
      <w:divBdr>
        <w:top w:val="none" w:sz="0" w:space="0" w:color="auto"/>
        <w:left w:val="none" w:sz="0" w:space="0" w:color="auto"/>
        <w:bottom w:val="none" w:sz="0" w:space="0" w:color="auto"/>
        <w:right w:val="none" w:sz="0" w:space="0" w:color="auto"/>
      </w:divBdr>
    </w:div>
    <w:div w:id="847643306">
      <w:bodyDiv w:val="1"/>
      <w:marLeft w:val="0"/>
      <w:marRight w:val="0"/>
      <w:marTop w:val="0"/>
      <w:marBottom w:val="0"/>
      <w:divBdr>
        <w:top w:val="none" w:sz="0" w:space="0" w:color="auto"/>
        <w:left w:val="none" w:sz="0" w:space="0" w:color="auto"/>
        <w:bottom w:val="none" w:sz="0" w:space="0" w:color="auto"/>
        <w:right w:val="none" w:sz="0" w:space="0" w:color="auto"/>
      </w:divBdr>
    </w:div>
    <w:div w:id="854270227">
      <w:bodyDiv w:val="1"/>
      <w:marLeft w:val="0"/>
      <w:marRight w:val="0"/>
      <w:marTop w:val="0"/>
      <w:marBottom w:val="0"/>
      <w:divBdr>
        <w:top w:val="none" w:sz="0" w:space="0" w:color="auto"/>
        <w:left w:val="none" w:sz="0" w:space="0" w:color="auto"/>
        <w:bottom w:val="none" w:sz="0" w:space="0" w:color="auto"/>
        <w:right w:val="none" w:sz="0" w:space="0" w:color="auto"/>
      </w:divBdr>
    </w:div>
    <w:div w:id="857697929">
      <w:bodyDiv w:val="1"/>
      <w:marLeft w:val="0"/>
      <w:marRight w:val="0"/>
      <w:marTop w:val="0"/>
      <w:marBottom w:val="0"/>
      <w:divBdr>
        <w:top w:val="none" w:sz="0" w:space="0" w:color="auto"/>
        <w:left w:val="none" w:sz="0" w:space="0" w:color="auto"/>
        <w:bottom w:val="none" w:sz="0" w:space="0" w:color="auto"/>
        <w:right w:val="none" w:sz="0" w:space="0" w:color="auto"/>
      </w:divBdr>
    </w:div>
    <w:div w:id="879898612">
      <w:bodyDiv w:val="1"/>
      <w:marLeft w:val="0"/>
      <w:marRight w:val="0"/>
      <w:marTop w:val="0"/>
      <w:marBottom w:val="0"/>
      <w:divBdr>
        <w:top w:val="none" w:sz="0" w:space="0" w:color="auto"/>
        <w:left w:val="none" w:sz="0" w:space="0" w:color="auto"/>
        <w:bottom w:val="none" w:sz="0" w:space="0" w:color="auto"/>
        <w:right w:val="none" w:sz="0" w:space="0" w:color="auto"/>
      </w:divBdr>
    </w:div>
    <w:div w:id="879980114">
      <w:bodyDiv w:val="1"/>
      <w:marLeft w:val="0"/>
      <w:marRight w:val="0"/>
      <w:marTop w:val="0"/>
      <w:marBottom w:val="0"/>
      <w:divBdr>
        <w:top w:val="none" w:sz="0" w:space="0" w:color="auto"/>
        <w:left w:val="none" w:sz="0" w:space="0" w:color="auto"/>
        <w:bottom w:val="none" w:sz="0" w:space="0" w:color="auto"/>
        <w:right w:val="none" w:sz="0" w:space="0" w:color="auto"/>
      </w:divBdr>
    </w:div>
    <w:div w:id="891186721">
      <w:bodyDiv w:val="1"/>
      <w:marLeft w:val="0"/>
      <w:marRight w:val="0"/>
      <w:marTop w:val="0"/>
      <w:marBottom w:val="0"/>
      <w:divBdr>
        <w:top w:val="none" w:sz="0" w:space="0" w:color="auto"/>
        <w:left w:val="none" w:sz="0" w:space="0" w:color="auto"/>
        <w:bottom w:val="none" w:sz="0" w:space="0" w:color="auto"/>
        <w:right w:val="none" w:sz="0" w:space="0" w:color="auto"/>
      </w:divBdr>
    </w:div>
    <w:div w:id="893202480">
      <w:bodyDiv w:val="1"/>
      <w:marLeft w:val="0"/>
      <w:marRight w:val="0"/>
      <w:marTop w:val="0"/>
      <w:marBottom w:val="0"/>
      <w:divBdr>
        <w:top w:val="none" w:sz="0" w:space="0" w:color="auto"/>
        <w:left w:val="none" w:sz="0" w:space="0" w:color="auto"/>
        <w:bottom w:val="none" w:sz="0" w:space="0" w:color="auto"/>
        <w:right w:val="none" w:sz="0" w:space="0" w:color="auto"/>
      </w:divBdr>
    </w:div>
    <w:div w:id="897281132">
      <w:bodyDiv w:val="1"/>
      <w:marLeft w:val="0"/>
      <w:marRight w:val="0"/>
      <w:marTop w:val="0"/>
      <w:marBottom w:val="0"/>
      <w:divBdr>
        <w:top w:val="none" w:sz="0" w:space="0" w:color="auto"/>
        <w:left w:val="none" w:sz="0" w:space="0" w:color="auto"/>
        <w:bottom w:val="none" w:sz="0" w:space="0" w:color="auto"/>
        <w:right w:val="none" w:sz="0" w:space="0" w:color="auto"/>
      </w:divBdr>
    </w:div>
    <w:div w:id="898442806">
      <w:bodyDiv w:val="1"/>
      <w:marLeft w:val="0"/>
      <w:marRight w:val="0"/>
      <w:marTop w:val="0"/>
      <w:marBottom w:val="0"/>
      <w:divBdr>
        <w:top w:val="none" w:sz="0" w:space="0" w:color="auto"/>
        <w:left w:val="none" w:sz="0" w:space="0" w:color="auto"/>
        <w:bottom w:val="none" w:sz="0" w:space="0" w:color="auto"/>
        <w:right w:val="none" w:sz="0" w:space="0" w:color="auto"/>
      </w:divBdr>
    </w:div>
    <w:div w:id="900672335">
      <w:bodyDiv w:val="1"/>
      <w:marLeft w:val="0"/>
      <w:marRight w:val="0"/>
      <w:marTop w:val="0"/>
      <w:marBottom w:val="0"/>
      <w:divBdr>
        <w:top w:val="none" w:sz="0" w:space="0" w:color="auto"/>
        <w:left w:val="none" w:sz="0" w:space="0" w:color="auto"/>
        <w:bottom w:val="none" w:sz="0" w:space="0" w:color="auto"/>
        <w:right w:val="none" w:sz="0" w:space="0" w:color="auto"/>
      </w:divBdr>
    </w:div>
    <w:div w:id="904216354">
      <w:bodyDiv w:val="1"/>
      <w:marLeft w:val="0"/>
      <w:marRight w:val="0"/>
      <w:marTop w:val="0"/>
      <w:marBottom w:val="0"/>
      <w:divBdr>
        <w:top w:val="none" w:sz="0" w:space="0" w:color="auto"/>
        <w:left w:val="none" w:sz="0" w:space="0" w:color="auto"/>
        <w:bottom w:val="none" w:sz="0" w:space="0" w:color="auto"/>
        <w:right w:val="none" w:sz="0" w:space="0" w:color="auto"/>
      </w:divBdr>
    </w:div>
    <w:div w:id="908223140">
      <w:bodyDiv w:val="1"/>
      <w:marLeft w:val="0"/>
      <w:marRight w:val="0"/>
      <w:marTop w:val="0"/>
      <w:marBottom w:val="0"/>
      <w:divBdr>
        <w:top w:val="none" w:sz="0" w:space="0" w:color="auto"/>
        <w:left w:val="none" w:sz="0" w:space="0" w:color="auto"/>
        <w:bottom w:val="none" w:sz="0" w:space="0" w:color="auto"/>
        <w:right w:val="none" w:sz="0" w:space="0" w:color="auto"/>
      </w:divBdr>
    </w:div>
    <w:div w:id="916355935">
      <w:bodyDiv w:val="1"/>
      <w:marLeft w:val="0"/>
      <w:marRight w:val="0"/>
      <w:marTop w:val="0"/>
      <w:marBottom w:val="0"/>
      <w:divBdr>
        <w:top w:val="none" w:sz="0" w:space="0" w:color="auto"/>
        <w:left w:val="none" w:sz="0" w:space="0" w:color="auto"/>
        <w:bottom w:val="none" w:sz="0" w:space="0" w:color="auto"/>
        <w:right w:val="none" w:sz="0" w:space="0" w:color="auto"/>
      </w:divBdr>
    </w:div>
    <w:div w:id="926963065">
      <w:bodyDiv w:val="1"/>
      <w:marLeft w:val="0"/>
      <w:marRight w:val="0"/>
      <w:marTop w:val="0"/>
      <w:marBottom w:val="0"/>
      <w:divBdr>
        <w:top w:val="none" w:sz="0" w:space="0" w:color="auto"/>
        <w:left w:val="none" w:sz="0" w:space="0" w:color="auto"/>
        <w:bottom w:val="none" w:sz="0" w:space="0" w:color="auto"/>
        <w:right w:val="none" w:sz="0" w:space="0" w:color="auto"/>
      </w:divBdr>
    </w:div>
    <w:div w:id="935678537">
      <w:bodyDiv w:val="1"/>
      <w:marLeft w:val="0"/>
      <w:marRight w:val="0"/>
      <w:marTop w:val="0"/>
      <w:marBottom w:val="0"/>
      <w:divBdr>
        <w:top w:val="none" w:sz="0" w:space="0" w:color="auto"/>
        <w:left w:val="none" w:sz="0" w:space="0" w:color="auto"/>
        <w:bottom w:val="none" w:sz="0" w:space="0" w:color="auto"/>
        <w:right w:val="none" w:sz="0" w:space="0" w:color="auto"/>
      </w:divBdr>
    </w:div>
    <w:div w:id="941105616">
      <w:bodyDiv w:val="1"/>
      <w:marLeft w:val="0"/>
      <w:marRight w:val="0"/>
      <w:marTop w:val="0"/>
      <w:marBottom w:val="0"/>
      <w:divBdr>
        <w:top w:val="none" w:sz="0" w:space="0" w:color="auto"/>
        <w:left w:val="none" w:sz="0" w:space="0" w:color="auto"/>
        <w:bottom w:val="none" w:sz="0" w:space="0" w:color="auto"/>
        <w:right w:val="none" w:sz="0" w:space="0" w:color="auto"/>
      </w:divBdr>
    </w:div>
    <w:div w:id="943223294">
      <w:bodyDiv w:val="1"/>
      <w:marLeft w:val="0"/>
      <w:marRight w:val="0"/>
      <w:marTop w:val="0"/>
      <w:marBottom w:val="0"/>
      <w:divBdr>
        <w:top w:val="none" w:sz="0" w:space="0" w:color="auto"/>
        <w:left w:val="none" w:sz="0" w:space="0" w:color="auto"/>
        <w:bottom w:val="none" w:sz="0" w:space="0" w:color="auto"/>
        <w:right w:val="none" w:sz="0" w:space="0" w:color="auto"/>
      </w:divBdr>
    </w:div>
    <w:div w:id="943345220">
      <w:bodyDiv w:val="1"/>
      <w:marLeft w:val="0"/>
      <w:marRight w:val="0"/>
      <w:marTop w:val="0"/>
      <w:marBottom w:val="0"/>
      <w:divBdr>
        <w:top w:val="none" w:sz="0" w:space="0" w:color="auto"/>
        <w:left w:val="none" w:sz="0" w:space="0" w:color="auto"/>
        <w:bottom w:val="none" w:sz="0" w:space="0" w:color="auto"/>
        <w:right w:val="none" w:sz="0" w:space="0" w:color="auto"/>
      </w:divBdr>
    </w:div>
    <w:div w:id="944652462">
      <w:bodyDiv w:val="1"/>
      <w:marLeft w:val="0"/>
      <w:marRight w:val="0"/>
      <w:marTop w:val="0"/>
      <w:marBottom w:val="0"/>
      <w:divBdr>
        <w:top w:val="none" w:sz="0" w:space="0" w:color="auto"/>
        <w:left w:val="none" w:sz="0" w:space="0" w:color="auto"/>
        <w:bottom w:val="none" w:sz="0" w:space="0" w:color="auto"/>
        <w:right w:val="none" w:sz="0" w:space="0" w:color="auto"/>
      </w:divBdr>
    </w:div>
    <w:div w:id="944728837">
      <w:bodyDiv w:val="1"/>
      <w:marLeft w:val="0"/>
      <w:marRight w:val="0"/>
      <w:marTop w:val="0"/>
      <w:marBottom w:val="0"/>
      <w:divBdr>
        <w:top w:val="none" w:sz="0" w:space="0" w:color="auto"/>
        <w:left w:val="none" w:sz="0" w:space="0" w:color="auto"/>
        <w:bottom w:val="none" w:sz="0" w:space="0" w:color="auto"/>
        <w:right w:val="none" w:sz="0" w:space="0" w:color="auto"/>
      </w:divBdr>
    </w:div>
    <w:div w:id="944996065">
      <w:bodyDiv w:val="1"/>
      <w:marLeft w:val="0"/>
      <w:marRight w:val="0"/>
      <w:marTop w:val="0"/>
      <w:marBottom w:val="0"/>
      <w:divBdr>
        <w:top w:val="none" w:sz="0" w:space="0" w:color="auto"/>
        <w:left w:val="none" w:sz="0" w:space="0" w:color="auto"/>
        <w:bottom w:val="none" w:sz="0" w:space="0" w:color="auto"/>
        <w:right w:val="none" w:sz="0" w:space="0" w:color="auto"/>
      </w:divBdr>
    </w:div>
    <w:div w:id="955216868">
      <w:bodyDiv w:val="1"/>
      <w:marLeft w:val="0"/>
      <w:marRight w:val="0"/>
      <w:marTop w:val="0"/>
      <w:marBottom w:val="0"/>
      <w:divBdr>
        <w:top w:val="none" w:sz="0" w:space="0" w:color="auto"/>
        <w:left w:val="none" w:sz="0" w:space="0" w:color="auto"/>
        <w:bottom w:val="none" w:sz="0" w:space="0" w:color="auto"/>
        <w:right w:val="none" w:sz="0" w:space="0" w:color="auto"/>
      </w:divBdr>
    </w:div>
    <w:div w:id="967472964">
      <w:bodyDiv w:val="1"/>
      <w:marLeft w:val="0"/>
      <w:marRight w:val="0"/>
      <w:marTop w:val="0"/>
      <w:marBottom w:val="0"/>
      <w:divBdr>
        <w:top w:val="none" w:sz="0" w:space="0" w:color="auto"/>
        <w:left w:val="none" w:sz="0" w:space="0" w:color="auto"/>
        <w:bottom w:val="none" w:sz="0" w:space="0" w:color="auto"/>
        <w:right w:val="none" w:sz="0" w:space="0" w:color="auto"/>
      </w:divBdr>
    </w:div>
    <w:div w:id="967514787">
      <w:bodyDiv w:val="1"/>
      <w:marLeft w:val="0"/>
      <w:marRight w:val="0"/>
      <w:marTop w:val="0"/>
      <w:marBottom w:val="0"/>
      <w:divBdr>
        <w:top w:val="none" w:sz="0" w:space="0" w:color="auto"/>
        <w:left w:val="none" w:sz="0" w:space="0" w:color="auto"/>
        <w:bottom w:val="none" w:sz="0" w:space="0" w:color="auto"/>
        <w:right w:val="none" w:sz="0" w:space="0" w:color="auto"/>
      </w:divBdr>
    </w:div>
    <w:div w:id="968556591">
      <w:bodyDiv w:val="1"/>
      <w:marLeft w:val="0"/>
      <w:marRight w:val="0"/>
      <w:marTop w:val="0"/>
      <w:marBottom w:val="0"/>
      <w:divBdr>
        <w:top w:val="none" w:sz="0" w:space="0" w:color="auto"/>
        <w:left w:val="none" w:sz="0" w:space="0" w:color="auto"/>
        <w:bottom w:val="none" w:sz="0" w:space="0" w:color="auto"/>
        <w:right w:val="none" w:sz="0" w:space="0" w:color="auto"/>
      </w:divBdr>
    </w:div>
    <w:div w:id="972759308">
      <w:bodyDiv w:val="1"/>
      <w:marLeft w:val="0"/>
      <w:marRight w:val="0"/>
      <w:marTop w:val="0"/>
      <w:marBottom w:val="0"/>
      <w:divBdr>
        <w:top w:val="none" w:sz="0" w:space="0" w:color="auto"/>
        <w:left w:val="none" w:sz="0" w:space="0" w:color="auto"/>
        <w:bottom w:val="none" w:sz="0" w:space="0" w:color="auto"/>
        <w:right w:val="none" w:sz="0" w:space="0" w:color="auto"/>
      </w:divBdr>
    </w:div>
    <w:div w:id="975374025">
      <w:bodyDiv w:val="1"/>
      <w:marLeft w:val="0"/>
      <w:marRight w:val="0"/>
      <w:marTop w:val="0"/>
      <w:marBottom w:val="0"/>
      <w:divBdr>
        <w:top w:val="none" w:sz="0" w:space="0" w:color="auto"/>
        <w:left w:val="none" w:sz="0" w:space="0" w:color="auto"/>
        <w:bottom w:val="none" w:sz="0" w:space="0" w:color="auto"/>
        <w:right w:val="none" w:sz="0" w:space="0" w:color="auto"/>
      </w:divBdr>
    </w:div>
    <w:div w:id="980311047">
      <w:bodyDiv w:val="1"/>
      <w:marLeft w:val="0"/>
      <w:marRight w:val="0"/>
      <w:marTop w:val="0"/>
      <w:marBottom w:val="0"/>
      <w:divBdr>
        <w:top w:val="none" w:sz="0" w:space="0" w:color="auto"/>
        <w:left w:val="none" w:sz="0" w:space="0" w:color="auto"/>
        <w:bottom w:val="none" w:sz="0" w:space="0" w:color="auto"/>
        <w:right w:val="none" w:sz="0" w:space="0" w:color="auto"/>
      </w:divBdr>
    </w:div>
    <w:div w:id="980695451">
      <w:bodyDiv w:val="1"/>
      <w:marLeft w:val="0"/>
      <w:marRight w:val="0"/>
      <w:marTop w:val="0"/>
      <w:marBottom w:val="0"/>
      <w:divBdr>
        <w:top w:val="none" w:sz="0" w:space="0" w:color="auto"/>
        <w:left w:val="none" w:sz="0" w:space="0" w:color="auto"/>
        <w:bottom w:val="none" w:sz="0" w:space="0" w:color="auto"/>
        <w:right w:val="none" w:sz="0" w:space="0" w:color="auto"/>
      </w:divBdr>
    </w:div>
    <w:div w:id="984046330">
      <w:bodyDiv w:val="1"/>
      <w:marLeft w:val="0"/>
      <w:marRight w:val="0"/>
      <w:marTop w:val="0"/>
      <w:marBottom w:val="0"/>
      <w:divBdr>
        <w:top w:val="none" w:sz="0" w:space="0" w:color="auto"/>
        <w:left w:val="none" w:sz="0" w:space="0" w:color="auto"/>
        <w:bottom w:val="none" w:sz="0" w:space="0" w:color="auto"/>
        <w:right w:val="none" w:sz="0" w:space="0" w:color="auto"/>
      </w:divBdr>
    </w:div>
    <w:div w:id="986518238">
      <w:bodyDiv w:val="1"/>
      <w:marLeft w:val="0"/>
      <w:marRight w:val="0"/>
      <w:marTop w:val="0"/>
      <w:marBottom w:val="0"/>
      <w:divBdr>
        <w:top w:val="none" w:sz="0" w:space="0" w:color="auto"/>
        <w:left w:val="none" w:sz="0" w:space="0" w:color="auto"/>
        <w:bottom w:val="none" w:sz="0" w:space="0" w:color="auto"/>
        <w:right w:val="none" w:sz="0" w:space="0" w:color="auto"/>
      </w:divBdr>
    </w:div>
    <w:div w:id="988942310">
      <w:bodyDiv w:val="1"/>
      <w:marLeft w:val="0"/>
      <w:marRight w:val="0"/>
      <w:marTop w:val="0"/>
      <w:marBottom w:val="0"/>
      <w:divBdr>
        <w:top w:val="none" w:sz="0" w:space="0" w:color="auto"/>
        <w:left w:val="none" w:sz="0" w:space="0" w:color="auto"/>
        <w:bottom w:val="none" w:sz="0" w:space="0" w:color="auto"/>
        <w:right w:val="none" w:sz="0" w:space="0" w:color="auto"/>
      </w:divBdr>
    </w:div>
    <w:div w:id="990791893">
      <w:bodyDiv w:val="1"/>
      <w:marLeft w:val="0"/>
      <w:marRight w:val="0"/>
      <w:marTop w:val="0"/>
      <w:marBottom w:val="0"/>
      <w:divBdr>
        <w:top w:val="none" w:sz="0" w:space="0" w:color="auto"/>
        <w:left w:val="none" w:sz="0" w:space="0" w:color="auto"/>
        <w:bottom w:val="none" w:sz="0" w:space="0" w:color="auto"/>
        <w:right w:val="none" w:sz="0" w:space="0" w:color="auto"/>
      </w:divBdr>
    </w:div>
    <w:div w:id="991565114">
      <w:bodyDiv w:val="1"/>
      <w:marLeft w:val="0"/>
      <w:marRight w:val="0"/>
      <w:marTop w:val="0"/>
      <w:marBottom w:val="0"/>
      <w:divBdr>
        <w:top w:val="none" w:sz="0" w:space="0" w:color="auto"/>
        <w:left w:val="none" w:sz="0" w:space="0" w:color="auto"/>
        <w:bottom w:val="none" w:sz="0" w:space="0" w:color="auto"/>
        <w:right w:val="none" w:sz="0" w:space="0" w:color="auto"/>
      </w:divBdr>
    </w:div>
    <w:div w:id="991636080">
      <w:bodyDiv w:val="1"/>
      <w:marLeft w:val="0"/>
      <w:marRight w:val="0"/>
      <w:marTop w:val="0"/>
      <w:marBottom w:val="0"/>
      <w:divBdr>
        <w:top w:val="none" w:sz="0" w:space="0" w:color="auto"/>
        <w:left w:val="none" w:sz="0" w:space="0" w:color="auto"/>
        <w:bottom w:val="none" w:sz="0" w:space="0" w:color="auto"/>
        <w:right w:val="none" w:sz="0" w:space="0" w:color="auto"/>
      </w:divBdr>
    </w:div>
    <w:div w:id="994458661">
      <w:bodyDiv w:val="1"/>
      <w:marLeft w:val="0"/>
      <w:marRight w:val="0"/>
      <w:marTop w:val="0"/>
      <w:marBottom w:val="0"/>
      <w:divBdr>
        <w:top w:val="none" w:sz="0" w:space="0" w:color="auto"/>
        <w:left w:val="none" w:sz="0" w:space="0" w:color="auto"/>
        <w:bottom w:val="none" w:sz="0" w:space="0" w:color="auto"/>
        <w:right w:val="none" w:sz="0" w:space="0" w:color="auto"/>
      </w:divBdr>
    </w:div>
    <w:div w:id="997221861">
      <w:bodyDiv w:val="1"/>
      <w:marLeft w:val="0"/>
      <w:marRight w:val="0"/>
      <w:marTop w:val="0"/>
      <w:marBottom w:val="0"/>
      <w:divBdr>
        <w:top w:val="none" w:sz="0" w:space="0" w:color="auto"/>
        <w:left w:val="none" w:sz="0" w:space="0" w:color="auto"/>
        <w:bottom w:val="none" w:sz="0" w:space="0" w:color="auto"/>
        <w:right w:val="none" w:sz="0" w:space="0" w:color="auto"/>
      </w:divBdr>
    </w:div>
    <w:div w:id="998386790">
      <w:bodyDiv w:val="1"/>
      <w:marLeft w:val="0"/>
      <w:marRight w:val="0"/>
      <w:marTop w:val="0"/>
      <w:marBottom w:val="0"/>
      <w:divBdr>
        <w:top w:val="none" w:sz="0" w:space="0" w:color="auto"/>
        <w:left w:val="none" w:sz="0" w:space="0" w:color="auto"/>
        <w:bottom w:val="none" w:sz="0" w:space="0" w:color="auto"/>
        <w:right w:val="none" w:sz="0" w:space="0" w:color="auto"/>
      </w:divBdr>
    </w:div>
    <w:div w:id="999892436">
      <w:bodyDiv w:val="1"/>
      <w:marLeft w:val="0"/>
      <w:marRight w:val="0"/>
      <w:marTop w:val="0"/>
      <w:marBottom w:val="0"/>
      <w:divBdr>
        <w:top w:val="none" w:sz="0" w:space="0" w:color="auto"/>
        <w:left w:val="none" w:sz="0" w:space="0" w:color="auto"/>
        <w:bottom w:val="none" w:sz="0" w:space="0" w:color="auto"/>
        <w:right w:val="none" w:sz="0" w:space="0" w:color="auto"/>
      </w:divBdr>
    </w:div>
    <w:div w:id="1005670017">
      <w:bodyDiv w:val="1"/>
      <w:marLeft w:val="0"/>
      <w:marRight w:val="0"/>
      <w:marTop w:val="0"/>
      <w:marBottom w:val="0"/>
      <w:divBdr>
        <w:top w:val="none" w:sz="0" w:space="0" w:color="auto"/>
        <w:left w:val="none" w:sz="0" w:space="0" w:color="auto"/>
        <w:bottom w:val="none" w:sz="0" w:space="0" w:color="auto"/>
        <w:right w:val="none" w:sz="0" w:space="0" w:color="auto"/>
      </w:divBdr>
    </w:div>
    <w:div w:id="1007635445">
      <w:bodyDiv w:val="1"/>
      <w:marLeft w:val="0"/>
      <w:marRight w:val="0"/>
      <w:marTop w:val="0"/>
      <w:marBottom w:val="0"/>
      <w:divBdr>
        <w:top w:val="none" w:sz="0" w:space="0" w:color="auto"/>
        <w:left w:val="none" w:sz="0" w:space="0" w:color="auto"/>
        <w:bottom w:val="none" w:sz="0" w:space="0" w:color="auto"/>
        <w:right w:val="none" w:sz="0" w:space="0" w:color="auto"/>
      </w:divBdr>
    </w:div>
    <w:div w:id="1012269274">
      <w:bodyDiv w:val="1"/>
      <w:marLeft w:val="0"/>
      <w:marRight w:val="0"/>
      <w:marTop w:val="0"/>
      <w:marBottom w:val="0"/>
      <w:divBdr>
        <w:top w:val="none" w:sz="0" w:space="0" w:color="auto"/>
        <w:left w:val="none" w:sz="0" w:space="0" w:color="auto"/>
        <w:bottom w:val="none" w:sz="0" w:space="0" w:color="auto"/>
        <w:right w:val="none" w:sz="0" w:space="0" w:color="auto"/>
      </w:divBdr>
    </w:div>
    <w:div w:id="1018849964">
      <w:bodyDiv w:val="1"/>
      <w:marLeft w:val="0"/>
      <w:marRight w:val="0"/>
      <w:marTop w:val="0"/>
      <w:marBottom w:val="0"/>
      <w:divBdr>
        <w:top w:val="none" w:sz="0" w:space="0" w:color="auto"/>
        <w:left w:val="none" w:sz="0" w:space="0" w:color="auto"/>
        <w:bottom w:val="none" w:sz="0" w:space="0" w:color="auto"/>
        <w:right w:val="none" w:sz="0" w:space="0" w:color="auto"/>
      </w:divBdr>
    </w:div>
    <w:div w:id="1021980385">
      <w:bodyDiv w:val="1"/>
      <w:marLeft w:val="0"/>
      <w:marRight w:val="0"/>
      <w:marTop w:val="0"/>
      <w:marBottom w:val="0"/>
      <w:divBdr>
        <w:top w:val="none" w:sz="0" w:space="0" w:color="auto"/>
        <w:left w:val="none" w:sz="0" w:space="0" w:color="auto"/>
        <w:bottom w:val="none" w:sz="0" w:space="0" w:color="auto"/>
        <w:right w:val="none" w:sz="0" w:space="0" w:color="auto"/>
      </w:divBdr>
    </w:div>
    <w:div w:id="1027869175">
      <w:bodyDiv w:val="1"/>
      <w:marLeft w:val="0"/>
      <w:marRight w:val="0"/>
      <w:marTop w:val="0"/>
      <w:marBottom w:val="0"/>
      <w:divBdr>
        <w:top w:val="none" w:sz="0" w:space="0" w:color="auto"/>
        <w:left w:val="none" w:sz="0" w:space="0" w:color="auto"/>
        <w:bottom w:val="none" w:sz="0" w:space="0" w:color="auto"/>
        <w:right w:val="none" w:sz="0" w:space="0" w:color="auto"/>
      </w:divBdr>
    </w:div>
    <w:div w:id="1029381987">
      <w:bodyDiv w:val="1"/>
      <w:marLeft w:val="0"/>
      <w:marRight w:val="0"/>
      <w:marTop w:val="0"/>
      <w:marBottom w:val="0"/>
      <w:divBdr>
        <w:top w:val="none" w:sz="0" w:space="0" w:color="auto"/>
        <w:left w:val="none" w:sz="0" w:space="0" w:color="auto"/>
        <w:bottom w:val="none" w:sz="0" w:space="0" w:color="auto"/>
        <w:right w:val="none" w:sz="0" w:space="0" w:color="auto"/>
      </w:divBdr>
    </w:div>
    <w:div w:id="1038965498">
      <w:bodyDiv w:val="1"/>
      <w:marLeft w:val="0"/>
      <w:marRight w:val="0"/>
      <w:marTop w:val="0"/>
      <w:marBottom w:val="0"/>
      <w:divBdr>
        <w:top w:val="none" w:sz="0" w:space="0" w:color="auto"/>
        <w:left w:val="none" w:sz="0" w:space="0" w:color="auto"/>
        <w:bottom w:val="none" w:sz="0" w:space="0" w:color="auto"/>
        <w:right w:val="none" w:sz="0" w:space="0" w:color="auto"/>
      </w:divBdr>
    </w:div>
    <w:div w:id="1040587780">
      <w:bodyDiv w:val="1"/>
      <w:marLeft w:val="0"/>
      <w:marRight w:val="0"/>
      <w:marTop w:val="0"/>
      <w:marBottom w:val="0"/>
      <w:divBdr>
        <w:top w:val="none" w:sz="0" w:space="0" w:color="auto"/>
        <w:left w:val="none" w:sz="0" w:space="0" w:color="auto"/>
        <w:bottom w:val="none" w:sz="0" w:space="0" w:color="auto"/>
        <w:right w:val="none" w:sz="0" w:space="0" w:color="auto"/>
      </w:divBdr>
    </w:div>
    <w:div w:id="1041782795">
      <w:bodyDiv w:val="1"/>
      <w:marLeft w:val="0"/>
      <w:marRight w:val="0"/>
      <w:marTop w:val="0"/>
      <w:marBottom w:val="0"/>
      <w:divBdr>
        <w:top w:val="none" w:sz="0" w:space="0" w:color="auto"/>
        <w:left w:val="none" w:sz="0" w:space="0" w:color="auto"/>
        <w:bottom w:val="none" w:sz="0" w:space="0" w:color="auto"/>
        <w:right w:val="none" w:sz="0" w:space="0" w:color="auto"/>
      </w:divBdr>
    </w:div>
    <w:div w:id="1042291862">
      <w:bodyDiv w:val="1"/>
      <w:marLeft w:val="0"/>
      <w:marRight w:val="0"/>
      <w:marTop w:val="0"/>
      <w:marBottom w:val="0"/>
      <w:divBdr>
        <w:top w:val="none" w:sz="0" w:space="0" w:color="auto"/>
        <w:left w:val="none" w:sz="0" w:space="0" w:color="auto"/>
        <w:bottom w:val="none" w:sz="0" w:space="0" w:color="auto"/>
        <w:right w:val="none" w:sz="0" w:space="0" w:color="auto"/>
      </w:divBdr>
    </w:div>
    <w:div w:id="1048839405">
      <w:bodyDiv w:val="1"/>
      <w:marLeft w:val="0"/>
      <w:marRight w:val="0"/>
      <w:marTop w:val="0"/>
      <w:marBottom w:val="0"/>
      <w:divBdr>
        <w:top w:val="none" w:sz="0" w:space="0" w:color="auto"/>
        <w:left w:val="none" w:sz="0" w:space="0" w:color="auto"/>
        <w:bottom w:val="none" w:sz="0" w:space="0" w:color="auto"/>
        <w:right w:val="none" w:sz="0" w:space="0" w:color="auto"/>
      </w:divBdr>
    </w:div>
    <w:div w:id="1048841696">
      <w:bodyDiv w:val="1"/>
      <w:marLeft w:val="0"/>
      <w:marRight w:val="0"/>
      <w:marTop w:val="0"/>
      <w:marBottom w:val="0"/>
      <w:divBdr>
        <w:top w:val="none" w:sz="0" w:space="0" w:color="auto"/>
        <w:left w:val="none" w:sz="0" w:space="0" w:color="auto"/>
        <w:bottom w:val="none" w:sz="0" w:space="0" w:color="auto"/>
        <w:right w:val="none" w:sz="0" w:space="0" w:color="auto"/>
      </w:divBdr>
    </w:div>
    <w:div w:id="1049378427">
      <w:bodyDiv w:val="1"/>
      <w:marLeft w:val="0"/>
      <w:marRight w:val="0"/>
      <w:marTop w:val="0"/>
      <w:marBottom w:val="0"/>
      <w:divBdr>
        <w:top w:val="none" w:sz="0" w:space="0" w:color="auto"/>
        <w:left w:val="none" w:sz="0" w:space="0" w:color="auto"/>
        <w:bottom w:val="none" w:sz="0" w:space="0" w:color="auto"/>
        <w:right w:val="none" w:sz="0" w:space="0" w:color="auto"/>
      </w:divBdr>
    </w:div>
    <w:div w:id="1050350627">
      <w:bodyDiv w:val="1"/>
      <w:marLeft w:val="0"/>
      <w:marRight w:val="0"/>
      <w:marTop w:val="0"/>
      <w:marBottom w:val="0"/>
      <w:divBdr>
        <w:top w:val="none" w:sz="0" w:space="0" w:color="auto"/>
        <w:left w:val="none" w:sz="0" w:space="0" w:color="auto"/>
        <w:bottom w:val="none" w:sz="0" w:space="0" w:color="auto"/>
        <w:right w:val="none" w:sz="0" w:space="0" w:color="auto"/>
      </w:divBdr>
    </w:div>
    <w:div w:id="1053193963">
      <w:bodyDiv w:val="1"/>
      <w:marLeft w:val="0"/>
      <w:marRight w:val="0"/>
      <w:marTop w:val="0"/>
      <w:marBottom w:val="0"/>
      <w:divBdr>
        <w:top w:val="none" w:sz="0" w:space="0" w:color="auto"/>
        <w:left w:val="none" w:sz="0" w:space="0" w:color="auto"/>
        <w:bottom w:val="none" w:sz="0" w:space="0" w:color="auto"/>
        <w:right w:val="none" w:sz="0" w:space="0" w:color="auto"/>
      </w:divBdr>
    </w:div>
    <w:div w:id="1060133091">
      <w:bodyDiv w:val="1"/>
      <w:marLeft w:val="0"/>
      <w:marRight w:val="0"/>
      <w:marTop w:val="0"/>
      <w:marBottom w:val="0"/>
      <w:divBdr>
        <w:top w:val="none" w:sz="0" w:space="0" w:color="auto"/>
        <w:left w:val="none" w:sz="0" w:space="0" w:color="auto"/>
        <w:bottom w:val="none" w:sz="0" w:space="0" w:color="auto"/>
        <w:right w:val="none" w:sz="0" w:space="0" w:color="auto"/>
      </w:divBdr>
    </w:div>
    <w:div w:id="1060399876">
      <w:bodyDiv w:val="1"/>
      <w:marLeft w:val="0"/>
      <w:marRight w:val="0"/>
      <w:marTop w:val="0"/>
      <w:marBottom w:val="0"/>
      <w:divBdr>
        <w:top w:val="none" w:sz="0" w:space="0" w:color="auto"/>
        <w:left w:val="none" w:sz="0" w:space="0" w:color="auto"/>
        <w:bottom w:val="none" w:sz="0" w:space="0" w:color="auto"/>
        <w:right w:val="none" w:sz="0" w:space="0" w:color="auto"/>
      </w:divBdr>
    </w:div>
    <w:div w:id="1065176250">
      <w:bodyDiv w:val="1"/>
      <w:marLeft w:val="0"/>
      <w:marRight w:val="0"/>
      <w:marTop w:val="0"/>
      <w:marBottom w:val="0"/>
      <w:divBdr>
        <w:top w:val="none" w:sz="0" w:space="0" w:color="auto"/>
        <w:left w:val="none" w:sz="0" w:space="0" w:color="auto"/>
        <w:bottom w:val="none" w:sz="0" w:space="0" w:color="auto"/>
        <w:right w:val="none" w:sz="0" w:space="0" w:color="auto"/>
      </w:divBdr>
    </w:div>
    <w:div w:id="1075784766">
      <w:bodyDiv w:val="1"/>
      <w:marLeft w:val="0"/>
      <w:marRight w:val="0"/>
      <w:marTop w:val="0"/>
      <w:marBottom w:val="0"/>
      <w:divBdr>
        <w:top w:val="none" w:sz="0" w:space="0" w:color="auto"/>
        <w:left w:val="none" w:sz="0" w:space="0" w:color="auto"/>
        <w:bottom w:val="none" w:sz="0" w:space="0" w:color="auto"/>
        <w:right w:val="none" w:sz="0" w:space="0" w:color="auto"/>
      </w:divBdr>
    </w:div>
    <w:div w:id="1078285938">
      <w:bodyDiv w:val="1"/>
      <w:marLeft w:val="0"/>
      <w:marRight w:val="0"/>
      <w:marTop w:val="0"/>
      <w:marBottom w:val="0"/>
      <w:divBdr>
        <w:top w:val="none" w:sz="0" w:space="0" w:color="auto"/>
        <w:left w:val="none" w:sz="0" w:space="0" w:color="auto"/>
        <w:bottom w:val="none" w:sz="0" w:space="0" w:color="auto"/>
        <w:right w:val="none" w:sz="0" w:space="0" w:color="auto"/>
      </w:divBdr>
    </w:div>
    <w:div w:id="1083914290">
      <w:bodyDiv w:val="1"/>
      <w:marLeft w:val="0"/>
      <w:marRight w:val="0"/>
      <w:marTop w:val="0"/>
      <w:marBottom w:val="0"/>
      <w:divBdr>
        <w:top w:val="none" w:sz="0" w:space="0" w:color="auto"/>
        <w:left w:val="none" w:sz="0" w:space="0" w:color="auto"/>
        <w:bottom w:val="none" w:sz="0" w:space="0" w:color="auto"/>
        <w:right w:val="none" w:sz="0" w:space="0" w:color="auto"/>
      </w:divBdr>
    </w:div>
    <w:div w:id="1089350737">
      <w:bodyDiv w:val="1"/>
      <w:marLeft w:val="0"/>
      <w:marRight w:val="0"/>
      <w:marTop w:val="0"/>
      <w:marBottom w:val="0"/>
      <w:divBdr>
        <w:top w:val="none" w:sz="0" w:space="0" w:color="auto"/>
        <w:left w:val="none" w:sz="0" w:space="0" w:color="auto"/>
        <w:bottom w:val="none" w:sz="0" w:space="0" w:color="auto"/>
        <w:right w:val="none" w:sz="0" w:space="0" w:color="auto"/>
      </w:divBdr>
    </w:div>
    <w:div w:id="1092360112">
      <w:bodyDiv w:val="1"/>
      <w:marLeft w:val="0"/>
      <w:marRight w:val="0"/>
      <w:marTop w:val="0"/>
      <w:marBottom w:val="0"/>
      <w:divBdr>
        <w:top w:val="none" w:sz="0" w:space="0" w:color="auto"/>
        <w:left w:val="none" w:sz="0" w:space="0" w:color="auto"/>
        <w:bottom w:val="none" w:sz="0" w:space="0" w:color="auto"/>
        <w:right w:val="none" w:sz="0" w:space="0" w:color="auto"/>
      </w:divBdr>
    </w:div>
    <w:div w:id="1095203022">
      <w:bodyDiv w:val="1"/>
      <w:marLeft w:val="0"/>
      <w:marRight w:val="0"/>
      <w:marTop w:val="0"/>
      <w:marBottom w:val="0"/>
      <w:divBdr>
        <w:top w:val="none" w:sz="0" w:space="0" w:color="auto"/>
        <w:left w:val="none" w:sz="0" w:space="0" w:color="auto"/>
        <w:bottom w:val="none" w:sz="0" w:space="0" w:color="auto"/>
        <w:right w:val="none" w:sz="0" w:space="0" w:color="auto"/>
      </w:divBdr>
    </w:div>
    <w:div w:id="1096094687">
      <w:bodyDiv w:val="1"/>
      <w:marLeft w:val="0"/>
      <w:marRight w:val="0"/>
      <w:marTop w:val="0"/>
      <w:marBottom w:val="0"/>
      <w:divBdr>
        <w:top w:val="none" w:sz="0" w:space="0" w:color="auto"/>
        <w:left w:val="none" w:sz="0" w:space="0" w:color="auto"/>
        <w:bottom w:val="none" w:sz="0" w:space="0" w:color="auto"/>
        <w:right w:val="none" w:sz="0" w:space="0" w:color="auto"/>
      </w:divBdr>
    </w:div>
    <w:div w:id="1101102460">
      <w:bodyDiv w:val="1"/>
      <w:marLeft w:val="0"/>
      <w:marRight w:val="0"/>
      <w:marTop w:val="0"/>
      <w:marBottom w:val="0"/>
      <w:divBdr>
        <w:top w:val="none" w:sz="0" w:space="0" w:color="auto"/>
        <w:left w:val="none" w:sz="0" w:space="0" w:color="auto"/>
        <w:bottom w:val="none" w:sz="0" w:space="0" w:color="auto"/>
        <w:right w:val="none" w:sz="0" w:space="0" w:color="auto"/>
      </w:divBdr>
    </w:div>
    <w:div w:id="1101872068">
      <w:bodyDiv w:val="1"/>
      <w:marLeft w:val="0"/>
      <w:marRight w:val="0"/>
      <w:marTop w:val="0"/>
      <w:marBottom w:val="0"/>
      <w:divBdr>
        <w:top w:val="none" w:sz="0" w:space="0" w:color="auto"/>
        <w:left w:val="none" w:sz="0" w:space="0" w:color="auto"/>
        <w:bottom w:val="none" w:sz="0" w:space="0" w:color="auto"/>
        <w:right w:val="none" w:sz="0" w:space="0" w:color="auto"/>
      </w:divBdr>
    </w:div>
    <w:div w:id="1102454429">
      <w:bodyDiv w:val="1"/>
      <w:marLeft w:val="0"/>
      <w:marRight w:val="0"/>
      <w:marTop w:val="0"/>
      <w:marBottom w:val="0"/>
      <w:divBdr>
        <w:top w:val="none" w:sz="0" w:space="0" w:color="auto"/>
        <w:left w:val="none" w:sz="0" w:space="0" w:color="auto"/>
        <w:bottom w:val="none" w:sz="0" w:space="0" w:color="auto"/>
        <w:right w:val="none" w:sz="0" w:space="0" w:color="auto"/>
      </w:divBdr>
    </w:div>
    <w:div w:id="1104037907">
      <w:bodyDiv w:val="1"/>
      <w:marLeft w:val="0"/>
      <w:marRight w:val="0"/>
      <w:marTop w:val="0"/>
      <w:marBottom w:val="0"/>
      <w:divBdr>
        <w:top w:val="none" w:sz="0" w:space="0" w:color="auto"/>
        <w:left w:val="none" w:sz="0" w:space="0" w:color="auto"/>
        <w:bottom w:val="none" w:sz="0" w:space="0" w:color="auto"/>
        <w:right w:val="none" w:sz="0" w:space="0" w:color="auto"/>
      </w:divBdr>
    </w:div>
    <w:div w:id="1106121541">
      <w:bodyDiv w:val="1"/>
      <w:marLeft w:val="0"/>
      <w:marRight w:val="0"/>
      <w:marTop w:val="0"/>
      <w:marBottom w:val="0"/>
      <w:divBdr>
        <w:top w:val="none" w:sz="0" w:space="0" w:color="auto"/>
        <w:left w:val="none" w:sz="0" w:space="0" w:color="auto"/>
        <w:bottom w:val="none" w:sz="0" w:space="0" w:color="auto"/>
        <w:right w:val="none" w:sz="0" w:space="0" w:color="auto"/>
      </w:divBdr>
    </w:div>
    <w:div w:id="1106316995">
      <w:bodyDiv w:val="1"/>
      <w:marLeft w:val="0"/>
      <w:marRight w:val="0"/>
      <w:marTop w:val="0"/>
      <w:marBottom w:val="0"/>
      <w:divBdr>
        <w:top w:val="none" w:sz="0" w:space="0" w:color="auto"/>
        <w:left w:val="none" w:sz="0" w:space="0" w:color="auto"/>
        <w:bottom w:val="none" w:sz="0" w:space="0" w:color="auto"/>
        <w:right w:val="none" w:sz="0" w:space="0" w:color="auto"/>
      </w:divBdr>
    </w:div>
    <w:div w:id="1108425203">
      <w:bodyDiv w:val="1"/>
      <w:marLeft w:val="0"/>
      <w:marRight w:val="0"/>
      <w:marTop w:val="0"/>
      <w:marBottom w:val="0"/>
      <w:divBdr>
        <w:top w:val="none" w:sz="0" w:space="0" w:color="auto"/>
        <w:left w:val="none" w:sz="0" w:space="0" w:color="auto"/>
        <w:bottom w:val="none" w:sz="0" w:space="0" w:color="auto"/>
        <w:right w:val="none" w:sz="0" w:space="0" w:color="auto"/>
      </w:divBdr>
    </w:div>
    <w:div w:id="1111781174">
      <w:bodyDiv w:val="1"/>
      <w:marLeft w:val="0"/>
      <w:marRight w:val="0"/>
      <w:marTop w:val="0"/>
      <w:marBottom w:val="0"/>
      <w:divBdr>
        <w:top w:val="none" w:sz="0" w:space="0" w:color="auto"/>
        <w:left w:val="none" w:sz="0" w:space="0" w:color="auto"/>
        <w:bottom w:val="none" w:sz="0" w:space="0" w:color="auto"/>
        <w:right w:val="none" w:sz="0" w:space="0" w:color="auto"/>
      </w:divBdr>
    </w:div>
    <w:div w:id="1112826537">
      <w:bodyDiv w:val="1"/>
      <w:marLeft w:val="0"/>
      <w:marRight w:val="0"/>
      <w:marTop w:val="0"/>
      <w:marBottom w:val="0"/>
      <w:divBdr>
        <w:top w:val="none" w:sz="0" w:space="0" w:color="auto"/>
        <w:left w:val="none" w:sz="0" w:space="0" w:color="auto"/>
        <w:bottom w:val="none" w:sz="0" w:space="0" w:color="auto"/>
        <w:right w:val="none" w:sz="0" w:space="0" w:color="auto"/>
      </w:divBdr>
    </w:div>
    <w:div w:id="1115297487">
      <w:bodyDiv w:val="1"/>
      <w:marLeft w:val="0"/>
      <w:marRight w:val="0"/>
      <w:marTop w:val="0"/>
      <w:marBottom w:val="0"/>
      <w:divBdr>
        <w:top w:val="none" w:sz="0" w:space="0" w:color="auto"/>
        <w:left w:val="none" w:sz="0" w:space="0" w:color="auto"/>
        <w:bottom w:val="none" w:sz="0" w:space="0" w:color="auto"/>
        <w:right w:val="none" w:sz="0" w:space="0" w:color="auto"/>
      </w:divBdr>
    </w:div>
    <w:div w:id="1117719433">
      <w:bodyDiv w:val="1"/>
      <w:marLeft w:val="0"/>
      <w:marRight w:val="0"/>
      <w:marTop w:val="0"/>
      <w:marBottom w:val="0"/>
      <w:divBdr>
        <w:top w:val="none" w:sz="0" w:space="0" w:color="auto"/>
        <w:left w:val="none" w:sz="0" w:space="0" w:color="auto"/>
        <w:bottom w:val="none" w:sz="0" w:space="0" w:color="auto"/>
        <w:right w:val="none" w:sz="0" w:space="0" w:color="auto"/>
      </w:divBdr>
    </w:div>
    <w:div w:id="1119033310">
      <w:bodyDiv w:val="1"/>
      <w:marLeft w:val="0"/>
      <w:marRight w:val="0"/>
      <w:marTop w:val="0"/>
      <w:marBottom w:val="0"/>
      <w:divBdr>
        <w:top w:val="none" w:sz="0" w:space="0" w:color="auto"/>
        <w:left w:val="none" w:sz="0" w:space="0" w:color="auto"/>
        <w:bottom w:val="none" w:sz="0" w:space="0" w:color="auto"/>
        <w:right w:val="none" w:sz="0" w:space="0" w:color="auto"/>
      </w:divBdr>
    </w:div>
    <w:div w:id="1119836829">
      <w:bodyDiv w:val="1"/>
      <w:marLeft w:val="0"/>
      <w:marRight w:val="0"/>
      <w:marTop w:val="0"/>
      <w:marBottom w:val="0"/>
      <w:divBdr>
        <w:top w:val="none" w:sz="0" w:space="0" w:color="auto"/>
        <w:left w:val="none" w:sz="0" w:space="0" w:color="auto"/>
        <w:bottom w:val="none" w:sz="0" w:space="0" w:color="auto"/>
        <w:right w:val="none" w:sz="0" w:space="0" w:color="auto"/>
      </w:divBdr>
    </w:div>
    <w:div w:id="1120027976">
      <w:bodyDiv w:val="1"/>
      <w:marLeft w:val="0"/>
      <w:marRight w:val="0"/>
      <w:marTop w:val="0"/>
      <w:marBottom w:val="0"/>
      <w:divBdr>
        <w:top w:val="none" w:sz="0" w:space="0" w:color="auto"/>
        <w:left w:val="none" w:sz="0" w:space="0" w:color="auto"/>
        <w:bottom w:val="none" w:sz="0" w:space="0" w:color="auto"/>
        <w:right w:val="none" w:sz="0" w:space="0" w:color="auto"/>
      </w:divBdr>
    </w:div>
    <w:div w:id="1120681743">
      <w:bodyDiv w:val="1"/>
      <w:marLeft w:val="0"/>
      <w:marRight w:val="0"/>
      <w:marTop w:val="0"/>
      <w:marBottom w:val="0"/>
      <w:divBdr>
        <w:top w:val="none" w:sz="0" w:space="0" w:color="auto"/>
        <w:left w:val="none" w:sz="0" w:space="0" w:color="auto"/>
        <w:bottom w:val="none" w:sz="0" w:space="0" w:color="auto"/>
        <w:right w:val="none" w:sz="0" w:space="0" w:color="auto"/>
      </w:divBdr>
    </w:div>
    <w:div w:id="1133325177">
      <w:bodyDiv w:val="1"/>
      <w:marLeft w:val="0"/>
      <w:marRight w:val="0"/>
      <w:marTop w:val="0"/>
      <w:marBottom w:val="0"/>
      <w:divBdr>
        <w:top w:val="none" w:sz="0" w:space="0" w:color="auto"/>
        <w:left w:val="none" w:sz="0" w:space="0" w:color="auto"/>
        <w:bottom w:val="none" w:sz="0" w:space="0" w:color="auto"/>
        <w:right w:val="none" w:sz="0" w:space="0" w:color="auto"/>
      </w:divBdr>
    </w:div>
    <w:div w:id="1137255927">
      <w:bodyDiv w:val="1"/>
      <w:marLeft w:val="0"/>
      <w:marRight w:val="0"/>
      <w:marTop w:val="0"/>
      <w:marBottom w:val="0"/>
      <w:divBdr>
        <w:top w:val="none" w:sz="0" w:space="0" w:color="auto"/>
        <w:left w:val="none" w:sz="0" w:space="0" w:color="auto"/>
        <w:bottom w:val="none" w:sz="0" w:space="0" w:color="auto"/>
        <w:right w:val="none" w:sz="0" w:space="0" w:color="auto"/>
      </w:divBdr>
    </w:div>
    <w:div w:id="1138038509">
      <w:bodyDiv w:val="1"/>
      <w:marLeft w:val="0"/>
      <w:marRight w:val="0"/>
      <w:marTop w:val="0"/>
      <w:marBottom w:val="0"/>
      <w:divBdr>
        <w:top w:val="none" w:sz="0" w:space="0" w:color="auto"/>
        <w:left w:val="none" w:sz="0" w:space="0" w:color="auto"/>
        <w:bottom w:val="none" w:sz="0" w:space="0" w:color="auto"/>
        <w:right w:val="none" w:sz="0" w:space="0" w:color="auto"/>
      </w:divBdr>
    </w:div>
    <w:div w:id="1139693263">
      <w:bodyDiv w:val="1"/>
      <w:marLeft w:val="0"/>
      <w:marRight w:val="0"/>
      <w:marTop w:val="0"/>
      <w:marBottom w:val="0"/>
      <w:divBdr>
        <w:top w:val="none" w:sz="0" w:space="0" w:color="auto"/>
        <w:left w:val="none" w:sz="0" w:space="0" w:color="auto"/>
        <w:bottom w:val="none" w:sz="0" w:space="0" w:color="auto"/>
        <w:right w:val="none" w:sz="0" w:space="0" w:color="auto"/>
      </w:divBdr>
    </w:div>
    <w:div w:id="1140146511">
      <w:bodyDiv w:val="1"/>
      <w:marLeft w:val="0"/>
      <w:marRight w:val="0"/>
      <w:marTop w:val="0"/>
      <w:marBottom w:val="0"/>
      <w:divBdr>
        <w:top w:val="none" w:sz="0" w:space="0" w:color="auto"/>
        <w:left w:val="none" w:sz="0" w:space="0" w:color="auto"/>
        <w:bottom w:val="none" w:sz="0" w:space="0" w:color="auto"/>
        <w:right w:val="none" w:sz="0" w:space="0" w:color="auto"/>
      </w:divBdr>
    </w:div>
    <w:div w:id="1141069865">
      <w:bodyDiv w:val="1"/>
      <w:marLeft w:val="0"/>
      <w:marRight w:val="0"/>
      <w:marTop w:val="0"/>
      <w:marBottom w:val="0"/>
      <w:divBdr>
        <w:top w:val="none" w:sz="0" w:space="0" w:color="auto"/>
        <w:left w:val="none" w:sz="0" w:space="0" w:color="auto"/>
        <w:bottom w:val="none" w:sz="0" w:space="0" w:color="auto"/>
        <w:right w:val="none" w:sz="0" w:space="0" w:color="auto"/>
      </w:divBdr>
    </w:div>
    <w:div w:id="1143474244">
      <w:bodyDiv w:val="1"/>
      <w:marLeft w:val="0"/>
      <w:marRight w:val="0"/>
      <w:marTop w:val="0"/>
      <w:marBottom w:val="0"/>
      <w:divBdr>
        <w:top w:val="none" w:sz="0" w:space="0" w:color="auto"/>
        <w:left w:val="none" w:sz="0" w:space="0" w:color="auto"/>
        <w:bottom w:val="none" w:sz="0" w:space="0" w:color="auto"/>
        <w:right w:val="none" w:sz="0" w:space="0" w:color="auto"/>
      </w:divBdr>
    </w:div>
    <w:div w:id="1155146671">
      <w:bodyDiv w:val="1"/>
      <w:marLeft w:val="0"/>
      <w:marRight w:val="0"/>
      <w:marTop w:val="0"/>
      <w:marBottom w:val="0"/>
      <w:divBdr>
        <w:top w:val="none" w:sz="0" w:space="0" w:color="auto"/>
        <w:left w:val="none" w:sz="0" w:space="0" w:color="auto"/>
        <w:bottom w:val="none" w:sz="0" w:space="0" w:color="auto"/>
        <w:right w:val="none" w:sz="0" w:space="0" w:color="auto"/>
      </w:divBdr>
    </w:div>
    <w:div w:id="1158109096">
      <w:bodyDiv w:val="1"/>
      <w:marLeft w:val="0"/>
      <w:marRight w:val="0"/>
      <w:marTop w:val="0"/>
      <w:marBottom w:val="0"/>
      <w:divBdr>
        <w:top w:val="none" w:sz="0" w:space="0" w:color="auto"/>
        <w:left w:val="none" w:sz="0" w:space="0" w:color="auto"/>
        <w:bottom w:val="none" w:sz="0" w:space="0" w:color="auto"/>
        <w:right w:val="none" w:sz="0" w:space="0" w:color="auto"/>
      </w:divBdr>
    </w:div>
    <w:div w:id="1160075091">
      <w:bodyDiv w:val="1"/>
      <w:marLeft w:val="0"/>
      <w:marRight w:val="0"/>
      <w:marTop w:val="0"/>
      <w:marBottom w:val="0"/>
      <w:divBdr>
        <w:top w:val="none" w:sz="0" w:space="0" w:color="auto"/>
        <w:left w:val="none" w:sz="0" w:space="0" w:color="auto"/>
        <w:bottom w:val="none" w:sz="0" w:space="0" w:color="auto"/>
        <w:right w:val="none" w:sz="0" w:space="0" w:color="auto"/>
      </w:divBdr>
    </w:div>
    <w:div w:id="1160543400">
      <w:bodyDiv w:val="1"/>
      <w:marLeft w:val="0"/>
      <w:marRight w:val="0"/>
      <w:marTop w:val="0"/>
      <w:marBottom w:val="0"/>
      <w:divBdr>
        <w:top w:val="none" w:sz="0" w:space="0" w:color="auto"/>
        <w:left w:val="none" w:sz="0" w:space="0" w:color="auto"/>
        <w:bottom w:val="none" w:sz="0" w:space="0" w:color="auto"/>
        <w:right w:val="none" w:sz="0" w:space="0" w:color="auto"/>
      </w:divBdr>
    </w:div>
    <w:div w:id="1162892067">
      <w:bodyDiv w:val="1"/>
      <w:marLeft w:val="0"/>
      <w:marRight w:val="0"/>
      <w:marTop w:val="0"/>
      <w:marBottom w:val="0"/>
      <w:divBdr>
        <w:top w:val="none" w:sz="0" w:space="0" w:color="auto"/>
        <w:left w:val="none" w:sz="0" w:space="0" w:color="auto"/>
        <w:bottom w:val="none" w:sz="0" w:space="0" w:color="auto"/>
        <w:right w:val="none" w:sz="0" w:space="0" w:color="auto"/>
      </w:divBdr>
    </w:div>
    <w:div w:id="1164247638">
      <w:bodyDiv w:val="1"/>
      <w:marLeft w:val="0"/>
      <w:marRight w:val="0"/>
      <w:marTop w:val="0"/>
      <w:marBottom w:val="0"/>
      <w:divBdr>
        <w:top w:val="none" w:sz="0" w:space="0" w:color="auto"/>
        <w:left w:val="none" w:sz="0" w:space="0" w:color="auto"/>
        <w:bottom w:val="none" w:sz="0" w:space="0" w:color="auto"/>
        <w:right w:val="none" w:sz="0" w:space="0" w:color="auto"/>
      </w:divBdr>
    </w:div>
    <w:div w:id="1164319951">
      <w:bodyDiv w:val="1"/>
      <w:marLeft w:val="0"/>
      <w:marRight w:val="0"/>
      <w:marTop w:val="0"/>
      <w:marBottom w:val="0"/>
      <w:divBdr>
        <w:top w:val="none" w:sz="0" w:space="0" w:color="auto"/>
        <w:left w:val="none" w:sz="0" w:space="0" w:color="auto"/>
        <w:bottom w:val="none" w:sz="0" w:space="0" w:color="auto"/>
        <w:right w:val="none" w:sz="0" w:space="0" w:color="auto"/>
      </w:divBdr>
    </w:div>
    <w:div w:id="1165362680">
      <w:bodyDiv w:val="1"/>
      <w:marLeft w:val="0"/>
      <w:marRight w:val="0"/>
      <w:marTop w:val="0"/>
      <w:marBottom w:val="0"/>
      <w:divBdr>
        <w:top w:val="none" w:sz="0" w:space="0" w:color="auto"/>
        <w:left w:val="none" w:sz="0" w:space="0" w:color="auto"/>
        <w:bottom w:val="none" w:sz="0" w:space="0" w:color="auto"/>
        <w:right w:val="none" w:sz="0" w:space="0" w:color="auto"/>
      </w:divBdr>
    </w:div>
    <w:div w:id="1165708231">
      <w:bodyDiv w:val="1"/>
      <w:marLeft w:val="0"/>
      <w:marRight w:val="0"/>
      <w:marTop w:val="0"/>
      <w:marBottom w:val="0"/>
      <w:divBdr>
        <w:top w:val="none" w:sz="0" w:space="0" w:color="auto"/>
        <w:left w:val="none" w:sz="0" w:space="0" w:color="auto"/>
        <w:bottom w:val="none" w:sz="0" w:space="0" w:color="auto"/>
        <w:right w:val="none" w:sz="0" w:space="0" w:color="auto"/>
      </w:divBdr>
    </w:div>
    <w:div w:id="1167162925">
      <w:bodyDiv w:val="1"/>
      <w:marLeft w:val="0"/>
      <w:marRight w:val="0"/>
      <w:marTop w:val="0"/>
      <w:marBottom w:val="0"/>
      <w:divBdr>
        <w:top w:val="none" w:sz="0" w:space="0" w:color="auto"/>
        <w:left w:val="none" w:sz="0" w:space="0" w:color="auto"/>
        <w:bottom w:val="none" w:sz="0" w:space="0" w:color="auto"/>
        <w:right w:val="none" w:sz="0" w:space="0" w:color="auto"/>
      </w:divBdr>
    </w:div>
    <w:div w:id="1172185920">
      <w:bodyDiv w:val="1"/>
      <w:marLeft w:val="0"/>
      <w:marRight w:val="0"/>
      <w:marTop w:val="0"/>
      <w:marBottom w:val="0"/>
      <w:divBdr>
        <w:top w:val="none" w:sz="0" w:space="0" w:color="auto"/>
        <w:left w:val="none" w:sz="0" w:space="0" w:color="auto"/>
        <w:bottom w:val="none" w:sz="0" w:space="0" w:color="auto"/>
        <w:right w:val="none" w:sz="0" w:space="0" w:color="auto"/>
      </w:divBdr>
    </w:div>
    <w:div w:id="1172993971">
      <w:bodyDiv w:val="1"/>
      <w:marLeft w:val="0"/>
      <w:marRight w:val="0"/>
      <w:marTop w:val="0"/>
      <w:marBottom w:val="0"/>
      <w:divBdr>
        <w:top w:val="none" w:sz="0" w:space="0" w:color="auto"/>
        <w:left w:val="none" w:sz="0" w:space="0" w:color="auto"/>
        <w:bottom w:val="none" w:sz="0" w:space="0" w:color="auto"/>
        <w:right w:val="none" w:sz="0" w:space="0" w:color="auto"/>
      </w:divBdr>
    </w:div>
    <w:div w:id="1174144653">
      <w:bodyDiv w:val="1"/>
      <w:marLeft w:val="0"/>
      <w:marRight w:val="0"/>
      <w:marTop w:val="0"/>
      <w:marBottom w:val="0"/>
      <w:divBdr>
        <w:top w:val="none" w:sz="0" w:space="0" w:color="auto"/>
        <w:left w:val="none" w:sz="0" w:space="0" w:color="auto"/>
        <w:bottom w:val="none" w:sz="0" w:space="0" w:color="auto"/>
        <w:right w:val="none" w:sz="0" w:space="0" w:color="auto"/>
      </w:divBdr>
    </w:div>
    <w:div w:id="1181506046">
      <w:bodyDiv w:val="1"/>
      <w:marLeft w:val="0"/>
      <w:marRight w:val="0"/>
      <w:marTop w:val="0"/>
      <w:marBottom w:val="0"/>
      <w:divBdr>
        <w:top w:val="none" w:sz="0" w:space="0" w:color="auto"/>
        <w:left w:val="none" w:sz="0" w:space="0" w:color="auto"/>
        <w:bottom w:val="none" w:sz="0" w:space="0" w:color="auto"/>
        <w:right w:val="none" w:sz="0" w:space="0" w:color="auto"/>
      </w:divBdr>
    </w:div>
    <w:div w:id="1182351423">
      <w:bodyDiv w:val="1"/>
      <w:marLeft w:val="0"/>
      <w:marRight w:val="0"/>
      <w:marTop w:val="0"/>
      <w:marBottom w:val="0"/>
      <w:divBdr>
        <w:top w:val="none" w:sz="0" w:space="0" w:color="auto"/>
        <w:left w:val="none" w:sz="0" w:space="0" w:color="auto"/>
        <w:bottom w:val="none" w:sz="0" w:space="0" w:color="auto"/>
        <w:right w:val="none" w:sz="0" w:space="0" w:color="auto"/>
      </w:divBdr>
    </w:div>
    <w:div w:id="1185441096">
      <w:bodyDiv w:val="1"/>
      <w:marLeft w:val="0"/>
      <w:marRight w:val="0"/>
      <w:marTop w:val="0"/>
      <w:marBottom w:val="0"/>
      <w:divBdr>
        <w:top w:val="none" w:sz="0" w:space="0" w:color="auto"/>
        <w:left w:val="none" w:sz="0" w:space="0" w:color="auto"/>
        <w:bottom w:val="none" w:sz="0" w:space="0" w:color="auto"/>
        <w:right w:val="none" w:sz="0" w:space="0" w:color="auto"/>
      </w:divBdr>
    </w:div>
    <w:div w:id="1189178717">
      <w:bodyDiv w:val="1"/>
      <w:marLeft w:val="0"/>
      <w:marRight w:val="0"/>
      <w:marTop w:val="0"/>
      <w:marBottom w:val="0"/>
      <w:divBdr>
        <w:top w:val="none" w:sz="0" w:space="0" w:color="auto"/>
        <w:left w:val="none" w:sz="0" w:space="0" w:color="auto"/>
        <w:bottom w:val="none" w:sz="0" w:space="0" w:color="auto"/>
        <w:right w:val="none" w:sz="0" w:space="0" w:color="auto"/>
      </w:divBdr>
    </w:div>
    <w:div w:id="1193375796">
      <w:bodyDiv w:val="1"/>
      <w:marLeft w:val="0"/>
      <w:marRight w:val="0"/>
      <w:marTop w:val="0"/>
      <w:marBottom w:val="0"/>
      <w:divBdr>
        <w:top w:val="none" w:sz="0" w:space="0" w:color="auto"/>
        <w:left w:val="none" w:sz="0" w:space="0" w:color="auto"/>
        <w:bottom w:val="none" w:sz="0" w:space="0" w:color="auto"/>
        <w:right w:val="none" w:sz="0" w:space="0" w:color="auto"/>
      </w:divBdr>
    </w:div>
    <w:div w:id="1193425003">
      <w:bodyDiv w:val="1"/>
      <w:marLeft w:val="0"/>
      <w:marRight w:val="0"/>
      <w:marTop w:val="0"/>
      <w:marBottom w:val="0"/>
      <w:divBdr>
        <w:top w:val="none" w:sz="0" w:space="0" w:color="auto"/>
        <w:left w:val="none" w:sz="0" w:space="0" w:color="auto"/>
        <w:bottom w:val="none" w:sz="0" w:space="0" w:color="auto"/>
        <w:right w:val="none" w:sz="0" w:space="0" w:color="auto"/>
      </w:divBdr>
    </w:div>
    <w:div w:id="1195193841">
      <w:bodyDiv w:val="1"/>
      <w:marLeft w:val="0"/>
      <w:marRight w:val="0"/>
      <w:marTop w:val="0"/>
      <w:marBottom w:val="0"/>
      <w:divBdr>
        <w:top w:val="none" w:sz="0" w:space="0" w:color="auto"/>
        <w:left w:val="none" w:sz="0" w:space="0" w:color="auto"/>
        <w:bottom w:val="none" w:sz="0" w:space="0" w:color="auto"/>
        <w:right w:val="none" w:sz="0" w:space="0" w:color="auto"/>
      </w:divBdr>
    </w:div>
    <w:div w:id="1200237280">
      <w:bodyDiv w:val="1"/>
      <w:marLeft w:val="0"/>
      <w:marRight w:val="0"/>
      <w:marTop w:val="0"/>
      <w:marBottom w:val="0"/>
      <w:divBdr>
        <w:top w:val="none" w:sz="0" w:space="0" w:color="auto"/>
        <w:left w:val="none" w:sz="0" w:space="0" w:color="auto"/>
        <w:bottom w:val="none" w:sz="0" w:space="0" w:color="auto"/>
        <w:right w:val="none" w:sz="0" w:space="0" w:color="auto"/>
      </w:divBdr>
    </w:div>
    <w:div w:id="1206066472">
      <w:bodyDiv w:val="1"/>
      <w:marLeft w:val="0"/>
      <w:marRight w:val="0"/>
      <w:marTop w:val="0"/>
      <w:marBottom w:val="0"/>
      <w:divBdr>
        <w:top w:val="none" w:sz="0" w:space="0" w:color="auto"/>
        <w:left w:val="none" w:sz="0" w:space="0" w:color="auto"/>
        <w:bottom w:val="none" w:sz="0" w:space="0" w:color="auto"/>
        <w:right w:val="none" w:sz="0" w:space="0" w:color="auto"/>
      </w:divBdr>
    </w:div>
    <w:div w:id="1209343109">
      <w:bodyDiv w:val="1"/>
      <w:marLeft w:val="0"/>
      <w:marRight w:val="0"/>
      <w:marTop w:val="0"/>
      <w:marBottom w:val="0"/>
      <w:divBdr>
        <w:top w:val="none" w:sz="0" w:space="0" w:color="auto"/>
        <w:left w:val="none" w:sz="0" w:space="0" w:color="auto"/>
        <w:bottom w:val="none" w:sz="0" w:space="0" w:color="auto"/>
        <w:right w:val="none" w:sz="0" w:space="0" w:color="auto"/>
      </w:divBdr>
    </w:div>
    <w:div w:id="1211845587">
      <w:bodyDiv w:val="1"/>
      <w:marLeft w:val="0"/>
      <w:marRight w:val="0"/>
      <w:marTop w:val="0"/>
      <w:marBottom w:val="0"/>
      <w:divBdr>
        <w:top w:val="none" w:sz="0" w:space="0" w:color="auto"/>
        <w:left w:val="none" w:sz="0" w:space="0" w:color="auto"/>
        <w:bottom w:val="none" w:sz="0" w:space="0" w:color="auto"/>
        <w:right w:val="none" w:sz="0" w:space="0" w:color="auto"/>
      </w:divBdr>
    </w:div>
    <w:div w:id="1213268391">
      <w:bodyDiv w:val="1"/>
      <w:marLeft w:val="0"/>
      <w:marRight w:val="0"/>
      <w:marTop w:val="0"/>
      <w:marBottom w:val="0"/>
      <w:divBdr>
        <w:top w:val="none" w:sz="0" w:space="0" w:color="auto"/>
        <w:left w:val="none" w:sz="0" w:space="0" w:color="auto"/>
        <w:bottom w:val="none" w:sz="0" w:space="0" w:color="auto"/>
        <w:right w:val="none" w:sz="0" w:space="0" w:color="auto"/>
      </w:divBdr>
    </w:div>
    <w:div w:id="1213538985">
      <w:bodyDiv w:val="1"/>
      <w:marLeft w:val="0"/>
      <w:marRight w:val="0"/>
      <w:marTop w:val="0"/>
      <w:marBottom w:val="0"/>
      <w:divBdr>
        <w:top w:val="none" w:sz="0" w:space="0" w:color="auto"/>
        <w:left w:val="none" w:sz="0" w:space="0" w:color="auto"/>
        <w:bottom w:val="none" w:sz="0" w:space="0" w:color="auto"/>
        <w:right w:val="none" w:sz="0" w:space="0" w:color="auto"/>
      </w:divBdr>
    </w:div>
    <w:div w:id="1213687083">
      <w:bodyDiv w:val="1"/>
      <w:marLeft w:val="0"/>
      <w:marRight w:val="0"/>
      <w:marTop w:val="0"/>
      <w:marBottom w:val="0"/>
      <w:divBdr>
        <w:top w:val="none" w:sz="0" w:space="0" w:color="auto"/>
        <w:left w:val="none" w:sz="0" w:space="0" w:color="auto"/>
        <w:bottom w:val="none" w:sz="0" w:space="0" w:color="auto"/>
        <w:right w:val="none" w:sz="0" w:space="0" w:color="auto"/>
      </w:divBdr>
    </w:div>
    <w:div w:id="1213926250">
      <w:bodyDiv w:val="1"/>
      <w:marLeft w:val="0"/>
      <w:marRight w:val="0"/>
      <w:marTop w:val="0"/>
      <w:marBottom w:val="0"/>
      <w:divBdr>
        <w:top w:val="none" w:sz="0" w:space="0" w:color="auto"/>
        <w:left w:val="none" w:sz="0" w:space="0" w:color="auto"/>
        <w:bottom w:val="none" w:sz="0" w:space="0" w:color="auto"/>
        <w:right w:val="none" w:sz="0" w:space="0" w:color="auto"/>
      </w:divBdr>
    </w:div>
    <w:div w:id="1214191557">
      <w:bodyDiv w:val="1"/>
      <w:marLeft w:val="0"/>
      <w:marRight w:val="0"/>
      <w:marTop w:val="0"/>
      <w:marBottom w:val="0"/>
      <w:divBdr>
        <w:top w:val="none" w:sz="0" w:space="0" w:color="auto"/>
        <w:left w:val="none" w:sz="0" w:space="0" w:color="auto"/>
        <w:bottom w:val="none" w:sz="0" w:space="0" w:color="auto"/>
        <w:right w:val="none" w:sz="0" w:space="0" w:color="auto"/>
      </w:divBdr>
    </w:div>
    <w:div w:id="1216774077">
      <w:bodyDiv w:val="1"/>
      <w:marLeft w:val="0"/>
      <w:marRight w:val="0"/>
      <w:marTop w:val="0"/>
      <w:marBottom w:val="0"/>
      <w:divBdr>
        <w:top w:val="none" w:sz="0" w:space="0" w:color="auto"/>
        <w:left w:val="none" w:sz="0" w:space="0" w:color="auto"/>
        <w:bottom w:val="none" w:sz="0" w:space="0" w:color="auto"/>
        <w:right w:val="none" w:sz="0" w:space="0" w:color="auto"/>
      </w:divBdr>
    </w:div>
    <w:div w:id="1217544677">
      <w:bodyDiv w:val="1"/>
      <w:marLeft w:val="0"/>
      <w:marRight w:val="0"/>
      <w:marTop w:val="0"/>
      <w:marBottom w:val="0"/>
      <w:divBdr>
        <w:top w:val="none" w:sz="0" w:space="0" w:color="auto"/>
        <w:left w:val="none" w:sz="0" w:space="0" w:color="auto"/>
        <w:bottom w:val="none" w:sz="0" w:space="0" w:color="auto"/>
        <w:right w:val="none" w:sz="0" w:space="0" w:color="auto"/>
      </w:divBdr>
    </w:div>
    <w:div w:id="1221400834">
      <w:bodyDiv w:val="1"/>
      <w:marLeft w:val="0"/>
      <w:marRight w:val="0"/>
      <w:marTop w:val="0"/>
      <w:marBottom w:val="0"/>
      <w:divBdr>
        <w:top w:val="none" w:sz="0" w:space="0" w:color="auto"/>
        <w:left w:val="none" w:sz="0" w:space="0" w:color="auto"/>
        <w:bottom w:val="none" w:sz="0" w:space="0" w:color="auto"/>
        <w:right w:val="none" w:sz="0" w:space="0" w:color="auto"/>
      </w:divBdr>
    </w:div>
    <w:div w:id="1222668407">
      <w:bodyDiv w:val="1"/>
      <w:marLeft w:val="0"/>
      <w:marRight w:val="0"/>
      <w:marTop w:val="0"/>
      <w:marBottom w:val="0"/>
      <w:divBdr>
        <w:top w:val="none" w:sz="0" w:space="0" w:color="auto"/>
        <w:left w:val="none" w:sz="0" w:space="0" w:color="auto"/>
        <w:bottom w:val="none" w:sz="0" w:space="0" w:color="auto"/>
        <w:right w:val="none" w:sz="0" w:space="0" w:color="auto"/>
      </w:divBdr>
    </w:div>
    <w:div w:id="1223981204">
      <w:bodyDiv w:val="1"/>
      <w:marLeft w:val="0"/>
      <w:marRight w:val="0"/>
      <w:marTop w:val="0"/>
      <w:marBottom w:val="0"/>
      <w:divBdr>
        <w:top w:val="none" w:sz="0" w:space="0" w:color="auto"/>
        <w:left w:val="none" w:sz="0" w:space="0" w:color="auto"/>
        <w:bottom w:val="none" w:sz="0" w:space="0" w:color="auto"/>
        <w:right w:val="none" w:sz="0" w:space="0" w:color="auto"/>
      </w:divBdr>
    </w:div>
    <w:div w:id="1224832874">
      <w:bodyDiv w:val="1"/>
      <w:marLeft w:val="0"/>
      <w:marRight w:val="0"/>
      <w:marTop w:val="0"/>
      <w:marBottom w:val="0"/>
      <w:divBdr>
        <w:top w:val="none" w:sz="0" w:space="0" w:color="auto"/>
        <w:left w:val="none" w:sz="0" w:space="0" w:color="auto"/>
        <w:bottom w:val="none" w:sz="0" w:space="0" w:color="auto"/>
        <w:right w:val="none" w:sz="0" w:space="0" w:color="auto"/>
      </w:divBdr>
    </w:div>
    <w:div w:id="1226717524">
      <w:bodyDiv w:val="1"/>
      <w:marLeft w:val="0"/>
      <w:marRight w:val="0"/>
      <w:marTop w:val="0"/>
      <w:marBottom w:val="0"/>
      <w:divBdr>
        <w:top w:val="none" w:sz="0" w:space="0" w:color="auto"/>
        <w:left w:val="none" w:sz="0" w:space="0" w:color="auto"/>
        <w:bottom w:val="none" w:sz="0" w:space="0" w:color="auto"/>
        <w:right w:val="none" w:sz="0" w:space="0" w:color="auto"/>
      </w:divBdr>
    </w:div>
    <w:div w:id="1227183249">
      <w:bodyDiv w:val="1"/>
      <w:marLeft w:val="0"/>
      <w:marRight w:val="0"/>
      <w:marTop w:val="0"/>
      <w:marBottom w:val="0"/>
      <w:divBdr>
        <w:top w:val="none" w:sz="0" w:space="0" w:color="auto"/>
        <w:left w:val="none" w:sz="0" w:space="0" w:color="auto"/>
        <w:bottom w:val="none" w:sz="0" w:space="0" w:color="auto"/>
        <w:right w:val="none" w:sz="0" w:space="0" w:color="auto"/>
      </w:divBdr>
    </w:div>
    <w:div w:id="1229996609">
      <w:bodyDiv w:val="1"/>
      <w:marLeft w:val="0"/>
      <w:marRight w:val="0"/>
      <w:marTop w:val="0"/>
      <w:marBottom w:val="0"/>
      <w:divBdr>
        <w:top w:val="none" w:sz="0" w:space="0" w:color="auto"/>
        <w:left w:val="none" w:sz="0" w:space="0" w:color="auto"/>
        <w:bottom w:val="none" w:sz="0" w:space="0" w:color="auto"/>
        <w:right w:val="none" w:sz="0" w:space="0" w:color="auto"/>
      </w:divBdr>
    </w:div>
    <w:div w:id="1233546546">
      <w:bodyDiv w:val="1"/>
      <w:marLeft w:val="0"/>
      <w:marRight w:val="0"/>
      <w:marTop w:val="0"/>
      <w:marBottom w:val="0"/>
      <w:divBdr>
        <w:top w:val="none" w:sz="0" w:space="0" w:color="auto"/>
        <w:left w:val="none" w:sz="0" w:space="0" w:color="auto"/>
        <w:bottom w:val="none" w:sz="0" w:space="0" w:color="auto"/>
        <w:right w:val="none" w:sz="0" w:space="0" w:color="auto"/>
      </w:divBdr>
    </w:div>
    <w:div w:id="1235432395">
      <w:bodyDiv w:val="1"/>
      <w:marLeft w:val="0"/>
      <w:marRight w:val="0"/>
      <w:marTop w:val="0"/>
      <w:marBottom w:val="0"/>
      <w:divBdr>
        <w:top w:val="none" w:sz="0" w:space="0" w:color="auto"/>
        <w:left w:val="none" w:sz="0" w:space="0" w:color="auto"/>
        <w:bottom w:val="none" w:sz="0" w:space="0" w:color="auto"/>
        <w:right w:val="none" w:sz="0" w:space="0" w:color="auto"/>
      </w:divBdr>
    </w:div>
    <w:div w:id="1236667155">
      <w:bodyDiv w:val="1"/>
      <w:marLeft w:val="0"/>
      <w:marRight w:val="0"/>
      <w:marTop w:val="0"/>
      <w:marBottom w:val="0"/>
      <w:divBdr>
        <w:top w:val="none" w:sz="0" w:space="0" w:color="auto"/>
        <w:left w:val="none" w:sz="0" w:space="0" w:color="auto"/>
        <w:bottom w:val="none" w:sz="0" w:space="0" w:color="auto"/>
        <w:right w:val="none" w:sz="0" w:space="0" w:color="auto"/>
      </w:divBdr>
    </w:div>
    <w:div w:id="1237936018">
      <w:bodyDiv w:val="1"/>
      <w:marLeft w:val="0"/>
      <w:marRight w:val="0"/>
      <w:marTop w:val="0"/>
      <w:marBottom w:val="0"/>
      <w:divBdr>
        <w:top w:val="none" w:sz="0" w:space="0" w:color="auto"/>
        <w:left w:val="none" w:sz="0" w:space="0" w:color="auto"/>
        <w:bottom w:val="none" w:sz="0" w:space="0" w:color="auto"/>
        <w:right w:val="none" w:sz="0" w:space="0" w:color="auto"/>
      </w:divBdr>
    </w:div>
    <w:div w:id="1239052938">
      <w:bodyDiv w:val="1"/>
      <w:marLeft w:val="0"/>
      <w:marRight w:val="0"/>
      <w:marTop w:val="0"/>
      <w:marBottom w:val="0"/>
      <w:divBdr>
        <w:top w:val="none" w:sz="0" w:space="0" w:color="auto"/>
        <w:left w:val="none" w:sz="0" w:space="0" w:color="auto"/>
        <w:bottom w:val="none" w:sz="0" w:space="0" w:color="auto"/>
        <w:right w:val="none" w:sz="0" w:space="0" w:color="auto"/>
      </w:divBdr>
    </w:div>
    <w:div w:id="1239367584">
      <w:bodyDiv w:val="1"/>
      <w:marLeft w:val="0"/>
      <w:marRight w:val="0"/>
      <w:marTop w:val="0"/>
      <w:marBottom w:val="0"/>
      <w:divBdr>
        <w:top w:val="none" w:sz="0" w:space="0" w:color="auto"/>
        <w:left w:val="none" w:sz="0" w:space="0" w:color="auto"/>
        <w:bottom w:val="none" w:sz="0" w:space="0" w:color="auto"/>
        <w:right w:val="none" w:sz="0" w:space="0" w:color="auto"/>
      </w:divBdr>
    </w:div>
    <w:div w:id="1243950799">
      <w:bodyDiv w:val="1"/>
      <w:marLeft w:val="0"/>
      <w:marRight w:val="0"/>
      <w:marTop w:val="0"/>
      <w:marBottom w:val="0"/>
      <w:divBdr>
        <w:top w:val="none" w:sz="0" w:space="0" w:color="auto"/>
        <w:left w:val="none" w:sz="0" w:space="0" w:color="auto"/>
        <w:bottom w:val="none" w:sz="0" w:space="0" w:color="auto"/>
        <w:right w:val="none" w:sz="0" w:space="0" w:color="auto"/>
      </w:divBdr>
    </w:div>
    <w:div w:id="1244146854">
      <w:bodyDiv w:val="1"/>
      <w:marLeft w:val="0"/>
      <w:marRight w:val="0"/>
      <w:marTop w:val="0"/>
      <w:marBottom w:val="0"/>
      <w:divBdr>
        <w:top w:val="none" w:sz="0" w:space="0" w:color="auto"/>
        <w:left w:val="none" w:sz="0" w:space="0" w:color="auto"/>
        <w:bottom w:val="none" w:sz="0" w:space="0" w:color="auto"/>
        <w:right w:val="none" w:sz="0" w:space="0" w:color="auto"/>
      </w:divBdr>
    </w:div>
    <w:div w:id="1250654642">
      <w:bodyDiv w:val="1"/>
      <w:marLeft w:val="0"/>
      <w:marRight w:val="0"/>
      <w:marTop w:val="0"/>
      <w:marBottom w:val="0"/>
      <w:divBdr>
        <w:top w:val="none" w:sz="0" w:space="0" w:color="auto"/>
        <w:left w:val="none" w:sz="0" w:space="0" w:color="auto"/>
        <w:bottom w:val="none" w:sz="0" w:space="0" w:color="auto"/>
        <w:right w:val="none" w:sz="0" w:space="0" w:color="auto"/>
      </w:divBdr>
    </w:div>
    <w:div w:id="1255551703">
      <w:bodyDiv w:val="1"/>
      <w:marLeft w:val="0"/>
      <w:marRight w:val="0"/>
      <w:marTop w:val="0"/>
      <w:marBottom w:val="0"/>
      <w:divBdr>
        <w:top w:val="none" w:sz="0" w:space="0" w:color="auto"/>
        <w:left w:val="none" w:sz="0" w:space="0" w:color="auto"/>
        <w:bottom w:val="none" w:sz="0" w:space="0" w:color="auto"/>
        <w:right w:val="none" w:sz="0" w:space="0" w:color="auto"/>
      </w:divBdr>
    </w:div>
    <w:div w:id="1263761978">
      <w:bodyDiv w:val="1"/>
      <w:marLeft w:val="0"/>
      <w:marRight w:val="0"/>
      <w:marTop w:val="0"/>
      <w:marBottom w:val="0"/>
      <w:divBdr>
        <w:top w:val="none" w:sz="0" w:space="0" w:color="auto"/>
        <w:left w:val="none" w:sz="0" w:space="0" w:color="auto"/>
        <w:bottom w:val="none" w:sz="0" w:space="0" w:color="auto"/>
        <w:right w:val="none" w:sz="0" w:space="0" w:color="auto"/>
      </w:divBdr>
    </w:div>
    <w:div w:id="1263799855">
      <w:bodyDiv w:val="1"/>
      <w:marLeft w:val="0"/>
      <w:marRight w:val="0"/>
      <w:marTop w:val="0"/>
      <w:marBottom w:val="0"/>
      <w:divBdr>
        <w:top w:val="none" w:sz="0" w:space="0" w:color="auto"/>
        <w:left w:val="none" w:sz="0" w:space="0" w:color="auto"/>
        <w:bottom w:val="none" w:sz="0" w:space="0" w:color="auto"/>
        <w:right w:val="none" w:sz="0" w:space="0" w:color="auto"/>
      </w:divBdr>
    </w:div>
    <w:div w:id="1268931592">
      <w:bodyDiv w:val="1"/>
      <w:marLeft w:val="0"/>
      <w:marRight w:val="0"/>
      <w:marTop w:val="0"/>
      <w:marBottom w:val="0"/>
      <w:divBdr>
        <w:top w:val="none" w:sz="0" w:space="0" w:color="auto"/>
        <w:left w:val="none" w:sz="0" w:space="0" w:color="auto"/>
        <w:bottom w:val="none" w:sz="0" w:space="0" w:color="auto"/>
        <w:right w:val="none" w:sz="0" w:space="0" w:color="auto"/>
      </w:divBdr>
    </w:div>
    <w:div w:id="1269854108">
      <w:bodyDiv w:val="1"/>
      <w:marLeft w:val="0"/>
      <w:marRight w:val="0"/>
      <w:marTop w:val="0"/>
      <w:marBottom w:val="0"/>
      <w:divBdr>
        <w:top w:val="none" w:sz="0" w:space="0" w:color="auto"/>
        <w:left w:val="none" w:sz="0" w:space="0" w:color="auto"/>
        <w:bottom w:val="none" w:sz="0" w:space="0" w:color="auto"/>
        <w:right w:val="none" w:sz="0" w:space="0" w:color="auto"/>
      </w:divBdr>
    </w:div>
    <w:div w:id="1271471880">
      <w:bodyDiv w:val="1"/>
      <w:marLeft w:val="0"/>
      <w:marRight w:val="0"/>
      <w:marTop w:val="0"/>
      <w:marBottom w:val="0"/>
      <w:divBdr>
        <w:top w:val="none" w:sz="0" w:space="0" w:color="auto"/>
        <w:left w:val="none" w:sz="0" w:space="0" w:color="auto"/>
        <w:bottom w:val="none" w:sz="0" w:space="0" w:color="auto"/>
        <w:right w:val="none" w:sz="0" w:space="0" w:color="auto"/>
      </w:divBdr>
    </w:div>
    <w:div w:id="1272588637">
      <w:bodyDiv w:val="1"/>
      <w:marLeft w:val="0"/>
      <w:marRight w:val="0"/>
      <w:marTop w:val="0"/>
      <w:marBottom w:val="0"/>
      <w:divBdr>
        <w:top w:val="none" w:sz="0" w:space="0" w:color="auto"/>
        <w:left w:val="none" w:sz="0" w:space="0" w:color="auto"/>
        <w:bottom w:val="none" w:sz="0" w:space="0" w:color="auto"/>
        <w:right w:val="none" w:sz="0" w:space="0" w:color="auto"/>
      </w:divBdr>
    </w:div>
    <w:div w:id="1274361740">
      <w:bodyDiv w:val="1"/>
      <w:marLeft w:val="0"/>
      <w:marRight w:val="0"/>
      <w:marTop w:val="0"/>
      <w:marBottom w:val="0"/>
      <w:divBdr>
        <w:top w:val="none" w:sz="0" w:space="0" w:color="auto"/>
        <w:left w:val="none" w:sz="0" w:space="0" w:color="auto"/>
        <w:bottom w:val="none" w:sz="0" w:space="0" w:color="auto"/>
        <w:right w:val="none" w:sz="0" w:space="0" w:color="auto"/>
      </w:divBdr>
    </w:div>
    <w:div w:id="1275940779">
      <w:bodyDiv w:val="1"/>
      <w:marLeft w:val="0"/>
      <w:marRight w:val="0"/>
      <w:marTop w:val="0"/>
      <w:marBottom w:val="0"/>
      <w:divBdr>
        <w:top w:val="none" w:sz="0" w:space="0" w:color="auto"/>
        <w:left w:val="none" w:sz="0" w:space="0" w:color="auto"/>
        <w:bottom w:val="none" w:sz="0" w:space="0" w:color="auto"/>
        <w:right w:val="none" w:sz="0" w:space="0" w:color="auto"/>
      </w:divBdr>
    </w:div>
    <w:div w:id="1278608410">
      <w:bodyDiv w:val="1"/>
      <w:marLeft w:val="0"/>
      <w:marRight w:val="0"/>
      <w:marTop w:val="0"/>
      <w:marBottom w:val="0"/>
      <w:divBdr>
        <w:top w:val="none" w:sz="0" w:space="0" w:color="auto"/>
        <w:left w:val="none" w:sz="0" w:space="0" w:color="auto"/>
        <w:bottom w:val="none" w:sz="0" w:space="0" w:color="auto"/>
        <w:right w:val="none" w:sz="0" w:space="0" w:color="auto"/>
      </w:divBdr>
    </w:div>
    <w:div w:id="1280377069">
      <w:bodyDiv w:val="1"/>
      <w:marLeft w:val="0"/>
      <w:marRight w:val="0"/>
      <w:marTop w:val="0"/>
      <w:marBottom w:val="0"/>
      <w:divBdr>
        <w:top w:val="none" w:sz="0" w:space="0" w:color="auto"/>
        <w:left w:val="none" w:sz="0" w:space="0" w:color="auto"/>
        <w:bottom w:val="none" w:sz="0" w:space="0" w:color="auto"/>
        <w:right w:val="none" w:sz="0" w:space="0" w:color="auto"/>
      </w:divBdr>
    </w:div>
    <w:div w:id="1283463190">
      <w:bodyDiv w:val="1"/>
      <w:marLeft w:val="0"/>
      <w:marRight w:val="0"/>
      <w:marTop w:val="0"/>
      <w:marBottom w:val="0"/>
      <w:divBdr>
        <w:top w:val="none" w:sz="0" w:space="0" w:color="auto"/>
        <w:left w:val="none" w:sz="0" w:space="0" w:color="auto"/>
        <w:bottom w:val="none" w:sz="0" w:space="0" w:color="auto"/>
        <w:right w:val="none" w:sz="0" w:space="0" w:color="auto"/>
      </w:divBdr>
    </w:div>
    <w:div w:id="1283881664">
      <w:bodyDiv w:val="1"/>
      <w:marLeft w:val="0"/>
      <w:marRight w:val="0"/>
      <w:marTop w:val="0"/>
      <w:marBottom w:val="0"/>
      <w:divBdr>
        <w:top w:val="none" w:sz="0" w:space="0" w:color="auto"/>
        <w:left w:val="none" w:sz="0" w:space="0" w:color="auto"/>
        <w:bottom w:val="none" w:sz="0" w:space="0" w:color="auto"/>
        <w:right w:val="none" w:sz="0" w:space="0" w:color="auto"/>
      </w:divBdr>
    </w:div>
    <w:div w:id="1285306194">
      <w:bodyDiv w:val="1"/>
      <w:marLeft w:val="0"/>
      <w:marRight w:val="0"/>
      <w:marTop w:val="0"/>
      <w:marBottom w:val="0"/>
      <w:divBdr>
        <w:top w:val="none" w:sz="0" w:space="0" w:color="auto"/>
        <w:left w:val="none" w:sz="0" w:space="0" w:color="auto"/>
        <w:bottom w:val="none" w:sz="0" w:space="0" w:color="auto"/>
        <w:right w:val="none" w:sz="0" w:space="0" w:color="auto"/>
      </w:divBdr>
    </w:div>
    <w:div w:id="1285426229">
      <w:bodyDiv w:val="1"/>
      <w:marLeft w:val="0"/>
      <w:marRight w:val="0"/>
      <w:marTop w:val="0"/>
      <w:marBottom w:val="0"/>
      <w:divBdr>
        <w:top w:val="none" w:sz="0" w:space="0" w:color="auto"/>
        <w:left w:val="none" w:sz="0" w:space="0" w:color="auto"/>
        <w:bottom w:val="none" w:sz="0" w:space="0" w:color="auto"/>
        <w:right w:val="none" w:sz="0" w:space="0" w:color="auto"/>
      </w:divBdr>
    </w:div>
    <w:div w:id="1289387933">
      <w:bodyDiv w:val="1"/>
      <w:marLeft w:val="0"/>
      <w:marRight w:val="0"/>
      <w:marTop w:val="0"/>
      <w:marBottom w:val="0"/>
      <w:divBdr>
        <w:top w:val="none" w:sz="0" w:space="0" w:color="auto"/>
        <w:left w:val="none" w:sz="0" w:space="0" w:color="auto"/>
        <w:bottom w:val="none" w:sz="0" w:space="0" w:color="auto"/>
        <w:right w:val="none" w:sz="0" w:space="0" w:color="auto"/>
      </w:divBdr>
    </w:div>
    <w:div w:id="1293174077">
      <w:bodyDiv w:val="1"/>
      <w:marLeft w:val="0"/>
      <w:marRight w:val="0"/>
      <w:marTop w:val="0"/>
      <w:marBottom w:val="0"/>
      <w:divBdr>
        <w:top w:val="none" w:sz="0" w:space="0" w:color="auto"/>
        <w:left w:val="none" w:sz="0" w:space="0" w:color="auto"/>
        <w:bottom w:val="none" w:sz="0" w:space="0" w:color="auto"/>
        <w:right w:val="none" w:sz="0" w:space="0" w:color="auto"/>
      </w:divBdr>
    </w:div>
    <w:div w:id="1294822102">
      <w:bodyDiv w:val="1"/>
      <w:marLeft w:val="0"/>
      <w:marRight w:val="0"/>
      <w:marTop w:val="0"/>
      <w:marBottom w:val="0"/>
      <w:divBdr>
        <w:top w:val="none" w:sz="0" w:space="0" w:color="auto"/>
        <w:left w:val="none" w:sz="0" w:space="0" w:color="auto"/>
        <w:bottom w:val="none" w:sz="0" w:space="0" w:color="auto"/>
        <w:right w:val="none" w:sz="0" w:space="0" w:color="auto"/>
      </w:divBdr>
    </w:div>
    <w:div w:id="1295910506">
      <w:bodyDiv w:val="1"/>
      <w:marLeft w:val="0"/>
      <w:marRight w:val="0"/>
      <w:marTop w:val="0"/>
      <w:marBottom w:val="0"/>
      <w:divBdr>
        <w:top w:val="none" w:sz="0" w:space="0" w:color="auto"/>
        <w:left w:val="none" w:sz="0" w:space="0" w:color="auto"/>
        <w:bottom w:val="none" w:sz="0" w:space="0" w:color="auto"/>
        <w:right w:val="none" w:sz="0" w:space="0" w:color="auto"/>
      </w:divBdr>
    </w:div>
    <w:div w:id="1303998535">
      <w:bodyDiv w:val="1"/>
      <w:marLeft w:val="0"/>
      <w:marRight w:val="0"/>
      <w:marTop w:val="0"/>
      <w:marBottom w:val="0"/>
      <w:divBdr>
        <w:top w:val="none" w:sz="0" w:space="0" w:color="auto"/>
        <w:left w:val="none" w:sz="0" w:space="0" w:color="auto"/>
        <w:bottom w:val="none" w:sz="0" w:space="0" w:color="auto"/>
        <w:right w:val="none" w:sz="0" w:space="0" w:color="auto"/>
      </w:divBdr>
    </w:div>
    <w:div w:id="1304239081">
      <w:bodyDiv w:val="1"/>
      <w:marLeft w:val="0"/>
      <w:marRight w:val="0"/>
      <w:marTop w:val="0"/>
      <w:marBottom w:val="0"/>
      <w:divBdr>
        <w:top w:val="none" w:sz="0" w:space="0" w:color="auto"/>
        <w:left w:val="none" w:sz="0" w:space="0" w:color="auto"/>
        <w:bottom w:val="none" w:sz="0" w:space="0" w:color="auto"/>
        <w:right w:val="none" w:sz="0" w:space="0" w:color="auto"/>
      </w:divBdr>
    </w:div>
    <w:div w:id="1309482382">
      <w:bodyDiv w:val="1"/>
      <w:marLeft w:val="0"/>
      <w:marRight w:val="0"/>
      <w:marTop w:val="0"/>
      <w:marBottom w:val="0"/>
      <w:divBdr>
        <w:top w:val="none" w:sz="0" w:space="0" w:color="auto"/>
        <w:left w:val="none" w:sz="0" w:space="0" w:color="auto"/>
        <w:bottom w:val="none" w:sz="0" w:space="0" w:color="auto"/>
        <w:right w:val="none" w:sz="0" w:space="0" w:color="auto"/>
      </w:divBdr>
    </w:div>
    <w:div w:id="1314946472">
      <w:bodyDiv w:val="1"/>
      <w:marLeft w:val="0"/>
      <w:marRight w:val="0"/>
      <w:marTop w:val="0"/>
      <w:marBottom w:val="0"/>
      <w:divBdr>
        <w:top w:val="none" w:sz="0" w:space="0" w:color="auto"/>
        <w:left w:val="none" w:sz="0" w:space="0" w:color="auto"/>
        <w:bottom w:val="none" w:sz="0" w:space="0" w:color="auto"/>
        <w:right w:val="none" w:sz="0" w:space="0" w:color="auto"/>
      </w:divBdr>
    </w:div>
    <w:div w:id="1321424323">
      <w:bodyDiv w:val="1"/>
      <w:marLeft w:val="0"/>
      <w:marRight w:val="0"/>
      <w:marTop w:val="0"/>
      <w:marBottom w:val="0"/>
      <w:divBdr>
        <w:top w:val="none" w:sz="0" w:space="0" w:color="auto"/>
        <w:left w:val="none" w:sz="0" w:space="0" w:color="auto"/>
        <w:bottom w:val="none" w:sz="0" w:space="0" w:color="auto"/>
        <w:right w:val="none" w:sz="0" w:space="0" w:color="auto"/>
      </w:divBdr>
    </w:div>
    <w:div w:id="1330213346">
      <w:bodyDiv w:val="1"/>
      <w:marLeft w:val="0"/>
      <w:marRight w:val="0"/>
      <w:marTop w:val="0"/>
      <w:marBottom w:val="0"/>
      <w:divBdr>
        <w:top w:val="none" w:sz="0" w:space="0" w:color="auto"/>
        <w:left w:val="none" w:sz="0" w:space="0" w:color="auto"/>
        <w:bottom w:val="none" w:sz="0" w:space="0" w:color="auto"/>
        <w:right w:val="none" w:sz="0" w:space="0" w:color="auto"/>
      </w:divBdr>
    </w:div>
    <w:div w:id="1330861823">
      <w:bodyDiv w:val="1"/>
      <w:marLeft w:val="0"/>
      <w:marRight w:val="0"/>
      <w:marTop w:val="0"/>
      <w:marBottom w:val="0"/>
      <w:divBdr>
        <w:top w:val="none" w:sz="0" w:space="0" w:color="auto"/>
        <w:left w:val="none" w:sz="0" w:space="0" w:color="auto"/>
        <w:bottom w:val="none" w:sz="0" w:space="0" w:color="auto"/>
        <w:right w:val="none" w:sz="0" w:space="0" w:color="auto"/>
      </w:divBdr>
    </w:div>
    <w:div w:id="1332290154">
      <w:bodyDiv w:val="1"/>
      <w:marLeft w:val="0"/>
      <w:marRight w:val="0"/>
      <w:marTop w:val="0"/>
      <w:marBottom w:val="0"/>
      <w:divBdr>
        <w:top w:val="none" w:sz="0" w:space="0" w:color="auto"/>
        <w:left w:val="none" w:sz="0" w:space="0" w:color="auto"/>
        <w:bottom w:val="none" w:sz="0" w:space="0" w:color="auto"/>
        <w:right w:val="none" w:sz="0" w:space="0" w:color="auto"/>
      </w:divBdr>
    </w:div>
    <w:div w:id="1341544433">
      <w:bodyDiv w:val="1"/>
      <w:marLeft w:val="0"/>
      <w:marRight w:val="0"/>
      <w:marTop w:val="0"/>
      <w:marBottom w:val="0"/>
      <w:divBdr>
        <w:top w:val="none" w:sz="0" w:space="0" w:color="auto"/>
        <w:left w:val="none" w:sz="0" w:space="0" w:color="auto"/>
        <w:bottom w:val="none" w:sz="0" w:space="0" w:color="auto"/>
        <w:right w:val="none" w:sz="0" w:space="0" w:color="auto"/>
      </w:divBdr>
    </w:div>
    <w:div w:id="1342659004">
      <w:bodyDiv w:val="1"/>
      <w:marLeft w:val="0"/>
      <w:marRight w:val="0"/>
      <w:marTop w:val="0"/>
      <w:marBottom w:val="0"/>
      <w:divBdr>
        <w:top w:val="none" w:sz="0" w:space="0" w:color="auto"/>
        <w:left w:val="none" w:sz="0" w:space="0" w:color="auto"/>
        <w:bottom w:val="none" w:sz="0" w:space="0" w:color="auto"/>
        <w:right w:val="none" w:sz="0" w:space="0" w:color="auto"/>
      </w:divBdr>
    </w:div>
    <w:div w:id="1349719242">
      <w:bodyDiv w:val="1"/>
      <w:marLeft w:val="0"/>
      <w:marRight w:val="0"/>
      <w:marTop w:val="0"/>
      <w:marBottom w:val="0"/>
      <w:divBdr>
        <w:top w:val="none" w:sz="0" w:space="0" w:color="auto"/>
        <w:left w:val="none" w:sz="0" w:space="0" w:color="auto"/>
        <w:bottom w:val="none" w:sz="0" w:space="0" w:color="auto"/>
        <w:right w:val="none" w:sz="0" w:space="0" w:color="auto"/>
      </w:divBdr>
    </w:div>
    <w:div w:id="1349719916">
      <w:bodyDiv w:val="1"/>
      <w:marLeft w:val="0"/>
      <w:marRight w:val="0"/>
      <w:marTop w:val="0"/>
      <w:marBottom w:val="0"/>
      <w:divBdr>
        <w:top w:val="none" w:sz="0" w:space="0" w:color="auto"/>
        <w:left w:val="none" w:sz="0" w:space="0" w:color="auto"/>
        <w:bottom w:val="none" w:sz="0" w:space="0" w:color="auto"/>
        <w:right w:val="none" w:sz="0" w:space="0" w:color="auto"/>
      </w:divBdr>
    </w:div>
    <w:div w:id="1354957445">
      <w:bodyDiv w:val="1"/>
      <w:marLeft w:val="0"/>
      <w:marRight w:val="0"/>
      <w:marTop w:val="0"/>
      <w:marBottom w:val="0"/>
      <w:divBdr>
        <w:top w:val="none" w:sz="0" w:space="0" w:color="auto"/>
        <w:left w:val="none" w:sz="0" w:space="0" w:color="auto"/>
        <w:bottom w:val="none" w:sz="0" w:space="0" w:color="auto"/>
        <w:right w:val="none" w:sz="0" w:space="0" w:color="auto"/>
      </w:divBdr>
    </w:div>
    <w:div w:id="1357658473">
      <w:bodyDiv w:val="1"/>
      <w:marLeft w:val="0"/>
      <w:marRight w:val="0"/>
      <w:marTop w:val="0"/>
      <w:marBottom w:val="0"/>
      <w:divBdr>
        <w:top w:val="none" w:sz="0" w:space="0" w:color="auto"/>
        <w:left w:val="none" w:sz="0" w:space="0" w:color="auto"/>
        <w:bottom w:val="none" w:sz="0" w:space="0" w:color="auto"/>
        <w:right w:val="none" w:sz="0" w:space="0" w:color="auto"/>
      </w:divBdr>
    </w:div>
    <w:div w:id="1359043474">
      <w:bodyDiv w:val="1"/>
      <w:marLeft w:val="0"/>
      <w:marRight w:val="0"/>
      <w:marTop w:val="0"/>
      <w:marBottom w:val="0"/>
      <w:divBdr>
        <w:top w:val="none" w:sz="0" w:space="0" w:color="auto"/>
        <w:left w:val="none" w:sz="0" w:space="0" w:color="auto"/>
        <w:bottom w:val="none" w:sz="0" w:space="0" w:color="auto"/>
        <w:right w:val="none" w:sz="0" w:space="0" w:color="auto"/>
      </w:divBdr>
    </w:div>
    <w:div w:id="1366100922">
      <w:bodyDiv w:val="1"/>
      <w:marLeft w:val="0"/>
      <w:marRight w:val="0"/>
      <w:marTop w:val="0"/>
      <w:marBottom w:val="0"/>
      <w:divBdr>
        <w:top w:val="none" w:sz="0" w:space="0" w:color="auto"/>
        <w:left w:val="none" w:sz="0" w:space="0" w:color="auto"/>
        <w:bottom w:val="none" w:sz="0" w:space="0" w:color="auto"/>
        <w:right w:val="none" w:sz="0" w:space="0" w:color="auto"/>
      </w:divBdr>
    </w:div>
    <w:div w:id="1373382014">
      <w:bodyDiv w:val="1"/>
      <w:marLeft w:val="0"/>
      <w:marRight w:val="0"/>
      <w:marTop w:val="0"/>
      <w:marBottom w:val="0"/>
      <w:divBdr>
        <w:top w:val="none" w:sz="0" w:space="0" w:color="auto"/>
        <w:left w:val="none" w:sz="0" w:space="0" w:color="auto"/>
        <w:bottom w:val="none" w:sz="0" w:space="0" w:color="auto"/>
        <w:right w:val="none" w:sz="0" w:space="0" w:color="auto"/>
      </w:divBdr>
    </w:div>
    <w:div w:id="1377118423">
      <w:bodyDiv w:val="1"/>
      <w:marLeft w:val="0"/>
      <w:marRight w:val="0"/>
      <w:marTop w:val="0"/>
      <w:marBottom w:val="0"/>
      <w:divBdr>
        <w:top w:val="none" w:sz="0" w:space="0" w:color="auto"/>
        <w:left w:val="none" w:sz="0" w:space="0" w:color="auto"/>
        <w:bottom w:val="none" w:sz="0" w:space="0" w:color="auto"/>
        <w:right w:val="none" w:sz="0" w:space="0" w:color="auto"/>
      </w:divBdr>
    </w:div>
    <w:div w:id="1378356144">
      <w:bodyDiv w:val="1"/>
      <w:marLeft w:val="0"/>
      <w:marRight w:val="0"/>
      <w:marTop w:val="0"/>
      <w:marBottom w:val="0"/>
      <w:divBdr>
        <w:top w:val="none" w:sz="0" w:space="0" w:color="auto"/>
        <w:left w:val="none" w:sz="0" w:space="0" w:color="auto"/>
        <w:bottom w:val="none" w:sz="0" w:space="0" w:color="auto"/>
        <w:right w:val="none" w:sz="0" w:space="0" w:color="auto"/>
      </w:divBdr>
    </w:div>
    <w:div w:id="1380325609">
      <w:bodyDiv w:val="1"/>
      <w:marLeft w:val="0"/>
      <w:marRight w:val="0"/>
      <w:marTop w:val="0"/>
      <w:marBottom w:val="0"/>
      <w:divBdr>
        <w:top w:val="none" w:sz="0" w:space="0" w:color="auto"/>
        <w:left w:val="none" w:sz="0" w:space="0" w:color="auto"/>
        <w:bottom w:val="none" w:sz="0" w:space="0" w:color="auto"/>
        <w:right w:val="none" w:sz="0" w:space="0" w:color="auto"/>
      </w:divBdr>
    </w:div>
    <w:div w:id="1382438067">
      <w:bodyDiv w:val="1"/>
      <w:marLeft w:val="0"/>
      <w:marRight w:val="0"/>
      <w:marTop w:val="0"/>
      <w:marBottom w:val="0"/>
      <w:divBdr>
        <w:top w:val="none" w:sz="0" w:space="0" w:color="auto"/>
        <w:left w:val="none" w:sz="0" w:space="0" w:color="auto"/>
        <w:bottom w:val="none" w:sz="0" w:space="0" w:color="auto"/>
        <w:right w:val="none" w:sz="0" w:space="0" w:color="auto"/>
      </w:divBdr>
    </w:div>
    <w:div w:id="1382904485">
      <w:bodyDiv w:val="1"/>
      <w:marLeft w:val="0"/>
      <w:marRight w:val="0"/>
      <w:marTop w:val="0"/>
      <w:marBottom w:val="0"/>
      <w:divBdr>
        <w:top w:val="none" w:sz="0" w:space="0" w:color="auto"/>
        <w:left w:val="none" w:sz="0" w:space="0" w:color="auto"/>
        <w:bottom w:val="none" w:sz="0" w:space="0" w:color="auto"/>
        <w:right w:val="none" w:sz="0" w:space="0" w:color="auto"/>
      </w:divBdr>
    </w:div>
    <w:div w:id="1383551944">
      <w:bodyDiv w:val="1"/>
      <w:marLeft w:val="0"/>
      <w:marRight w:val="0"/>
      <w:marTop w:val="0"/>
      <w:marBottom w:val="0"/>
      <w:divBdr>
        <w:top w:val="none" w:sz="0" w:space="0" w:color="auto"/>
        <w:left w:val="none" w:sz="0" w:space="0" w:color="auto"/>
        <w:bottom w:val="none" w:sz="0" w:space="0" w:color="auto"/>
        <w:right w:val="none" w:sz="0" w:space="0" w:color="auto"/>
      </w:divBdr>
    </w:div>
    <w:div w:id="1385562903">
      <w:bodyDiv w:val="1"/>
      <w:marLeft w:val="0"/>
      <w:marRight w:val="0"/>
      <w:marTop w:val="0"/>
      <w:marBottom w:val="0"/>
      <w:divBdr>
        <w:top w:val="none" w:sz="0" w:space="0" w:color="auto"/>
        <w:left w:val="none" w:sz="0" w:space="0" w:color="auto"/>
        <w:bottom w:val="none" w:sz="0" w:space="0" w:color="auto"/>
        <w:right w:val="none" w:sz="0" w:space="0" w:color="auto"/>
      </w:divBdr>
    </w:div>
    <w:div w:id="1388839212">
      <w:bodyDiv w:val="1"/>
      <w:marLeft w:val="0"/>
      <w:marRight w:val="0"/>
      <w:marTop w:val="0"/>
      <w:marBottom w:val="0"/>
      <w:divBdr>
        <w:top w:val="none" w:sz="0" w:space="0" w:color="auto"/>
        <w:left w:val="none" w:sz="0" w:space="0" w:color="auto"/>
        <w:bottom w:val="none" w:sz="0" w:space="0" w:color="auto"/>
        <w:right w:val="none" w:sz="0" w:space="0" w:color="auto"/>
      </w:divBdr>
    </w:div>
    <w:div w:id="1389845114">
      <w:bodyDiv w:val="1"/>
      <w:marLeft w:val="0"/>
      <w:marRight w:val="0"/>
      <w:marTop w:val="0"/>
      <w:marBottom w:val="0"/>
      <w:divBdr>
        <w:top w:val="none" w:sz="0" w:space="0" w:color="auto"/>
        <w:left w:val="none" w:sz="0" w:space="0" w:color="auto"/>
        <w:bottom w:val="none" w:sz="0" w:space="0" w:color="auto"/>
        <w:right w:val="none" w:sz="0" w:space="0" w:color="auto"/>
      </w:divBdr>
    </w:div>
    <w:div w:id="1398016161">
      <w:bodyDiv w:val="1"/>
      <w:marLeft w:val="0"/>
      <w:marRight w:val="0"/>
      <w:marTop w:val="0"/>
      <w:marBottom w:val="0"/>
      <w:divBdr>
        <w:top w:val="none" w:sz="0" w:space="0" w:color="auto"/>
        <w:left w:val="none" w:sz="0" w:space="0" w:color="auto"/>
        <w:bottom w:val="none" w:sz="0" w:space="0" w:color="auto"/>
        <w:right w:val="none" w:sz="0" w:space="0" w:color="auto"/>
      </w:divBdr>
    </w:div>
    <w:div w:id="1399943133">
      <w:bodyDiv w:val="1"/>
      <w:marLeft w:val="0"/>
      <w:marRight w:val="0"/>
      <w:marTop w:val="0"/>
      <w:marBottom w:val="0"/>
      <w:divBdr>
        <w:top w:val="none" w:sz="0" w:space="0" w:color="auto"/>
        <w:left w:val="none" w:sz="0" w:space="0" w:color="auto"/>
        <w:bottom w:val="none" w:sz="0" w:space="0" w:color="auto"/>
        <w:right w:val="none" w:sz="0" w:space="0" w:color="auto"/>
      </w:divBdr>
    </w:div>
    <w:div w:id="1404333207">
      <w:bodyDiv w:val="1"/>
      <w:marLeft w:val="0"/>
      <w:marRight w:val="0"/>
      <w:marTop w:val="0"/>
      <w:marBottom w:val="0"/>
      <w:divBdr>
        <w:top w:val="none" w:sz="0" w:space="0" w:color="auto"/>
        <w:left w:val="none" w:sz="0" w:space="0" w:color="auto"/>
        <w:bottom w:val="none" w:sz="0" w:space="0" w:color="auto"/>
        <w:right w:val="none" w:sz="0" w:space="0" w:color="auto"/>
      </w:divBdr>
    </w:div>
    <w:div w:id="1411082230">
      <w:bodyDiv w:val="1"/>
      <w:marLeft w:val="0"/>
      <w:marRight w:val="0"/>
      <w:marTop w:val="0"/>
      <w:marBottom w:val="0"/>
      <w:divBdr>
        <w:top w:val="none" w:sz="0" w:space="0" w:color="auto"/>
        <w:left w:val="none" w:sz="0" w:space="0" w:color="auto"/>
        <w:bottom w:val="none" w:sz="0" w:space="0" w:color="auto"/>
        <w:right w:val="none" w:sz="0" w:space="0" w:color="auto"/>
      </w:divBdr>
    </w:div>
    <w:div w:id="1416630593">
      <w:bodyDiv w:val="1"/>
      <w:marLeft w:val="0"/>
      <w:marRight w:val="0"/>
      <w:marTop w:val="0"/>
      <w:marBottom w:val="0"/>
      <w:divBdr>
        <w:top w:val="none" w:sz="0" w:space="0" w:color="auto"/>
        <w:left w:val="none" w:sz="0" w:space="0" w:color="auto"/>
        <w:bottom w:val="none" w:sz="0" w:space="0" w:color="auto"/>
        <w:right w:val="none" w:sz="0" w:space="0" w:color="auto"/>
      </w:divBdr>
    </w:div>
    <w:div w:id="1416853931">
      <w:bodyDiv w:val="1"/>
      <w:marLeft w:val="0"/>
      <w:marRight w:val="0"/>
      <w:marTop w:val="0"/>
      <w:marBottom w:val="0"/>
      <w:divBdr>
        <w:top w:val="none" w:sz="0" w:space="0" w:color="auto"/>
        <w:left w:val="none" w:sz="0" w:space="0" w:color="auto"/>
        <w:bottom w:val="none" w:sz="0" w:space="0" w:color="auto"/>
        <w:right w:val="none" w:sz="0" w:space="0" w:color="auto"/>
      </w:divBdr>
    </w:div>
    <w:div w:id="1420520485">
      <w:bodyDiv w:val="1"/>
      <w:marLeft w:val="0"/>
      <w:marRight w:val="0"/>
      <w:marTop w:val="0"/>
      <w:marBottom w:val="0"/>
      <w:divBdr>
        <w:top w:val="none" w:sz="0" w:space="0" w:color="auto"/>
        <w:left w:val="none" w:sz="0" w:space="0" w:color="auto"/>
        <w:bottom w:val="none" w:sz="0" w:space="0" w:color="auto"/>
        <w:right w:val="none" w:sz="0" w:space="0" w:color="auto"/>
      </w:divBdr>
    </w:div>
    <w:div w:id="1421639190">
      <w:bodyDiv w:val="1"/>
      <w:marLeft w:val="0"/>
      <w:marRight w:val="0"/>
      <w:marTop w:val="0"/>
      <w:marBottom w:val="0"/>
      <w:divBdr>
        <w:top w:val="none" w:sz="0" w:space="0" w:color="auto"/>
        <w:left w:val="none" w:sz="0" w:space="0" w:color="auto"/>
        <w:bottom w:val="none" w:sz="0" w:space="0" w:color="auto"/>
        <w:right w:val="none" w:sz="0" w:space="0" w:color="auto"/>
      </w:divBdr>
    </w:div>
    <w:div w:id="1421830396">
      <w:bodyDiv w:val="1"/>
      <w:marLeft w:val="0"/>
      <w:marRight w:val="0"/>
      <w:marTop w:val="0"/>
      <w:marBottom w:val="0"/>
      <w:divBdr>
        <w:top w:val="none" w:sz="0" w:space="0" w:color="auto"/>
        <w:left w:val="none" w:sz="0" w:space="0" w:color="auto"/>
        <w:bottom w:val="none" w:sz="0" w:space="0" w:color="auto"/>
        <w:right w:val="none" w:sz="0" w:space="0" w:color="auto"/>
      </w:divBdr>
    </w:div>
    <w:div w:id="1429079427">
      <w:bodyDiv w:val="1"/>
      <w:marLeft w:val="0"/>
      <w:marRight w:val="0"/>
      <w:marTop w:val="0"/>
      <w:marBottom w:val="0"/>
      <w:divBdr>
        <w:top w:val="none" w:sz="0" w:space="0" w:color="auto"/>
        <w:left w:val="none" w:sz="0" w:space="0" w:color="auto"/>
        <w:bottom w:val="none" w:sz="0" w:space="0" w:color="auto"/>
        <w:right w:val="none" w:sz="0" w:space="0" w:color="auto"/>
      </w:divBdr>
    </w:div>
    <w:div w:id="1439328029">
      <w:bodyDiv w:val="1"/>
      <w:marLeft w:val="0"/>
      <w:marRight w:val="0"/>
      <w:marTop w:val="0"/>
      <w:marBottom w:val="0"/>
      <w:divBdr>
        <w:top w:val="none" w:sz="0" w:space="0" w:color="auto"/>
        <w:left w:val="none" w:sz="0" w:space="0" w:color="auto"/>
        <w:bottom w:val="none" w:sz="0" w:space="0" w:color="auto"/>
        <w:right w:val="none" w:sz="0" w:space="0" w:color="auto"/>
      </w:divBdr>
    </w:div>
    <w:div w:id="1440493920">
      <w:bodyDiv w:val="1"/>
      <w:marLeft w:val="0"/>
      <w:marRight w:val="0"/>
      <w:marTop w:val="0"/>
      <w:marBottom w:val="0"/>
      <w:divBdr>
        <w:top w:val="none" w:sz="0" w:space="0" w:color="auto"/>
        <w:left w:val="none" w:sz="0" w:space="0" w:color="auto"/>
        <w:bottom w:val="none" w:sz="0" w:space="0" w:color="auto"/>
        <w:right w:val="none" w:sz="0" w:space="0" w:color="auto"/>
      </w:divBdr>
    </w:div>
    <w:div w:id="1443300487">
      <w:bodyDiv w:val="1"/>
      <w:marLeft w:val="0"/>
      <w:marRight w:val="0"/>
      <w:marTop w:val="0"/>
      <w:marBottom w:val="0"/>
      <w:divBdr>
        <w:top w:val="none" w:sz="0" w:space="0" w:color="auto"/>
        <w:left w:val="none" w:sz="0" w:space="0" w:color="auto"/>
        <w:bottom w:val="none" w:sz="0" w:space="0" w:color="auto"/>
        <w:right w:val="none" w:sz="0" w:space="0" w:color="auto"/>
      </w:divBdr>
    </w:div>
    <w:div w:id="1443646602">
      <w:bodyDiv w:val="1"/>
      <w:marLeft w:val="0"/>
      <w:marRight w:val="0"/>
      <w:marTop w:val="0"/>
      <w:marBottom w:val="0"/>
      <w:divBdr>
        <w:top w:val="none" w:sz="0" w:space="0" w:color="auto"/>
        <w:left w:val="none" w:sz="0" w:space="0" w:color="auto"/>
        <w:bottom w:val="none" w:sz="0" w:space="0" w:color="auto"/>
        <w:right w:val="none" w:sz="0" w:space="0" w:color="auto"/>
      </w:divBdr>
    </w:div>
    <w:div w:id="1443650582">
      <w:bodyDiv w:val="1"/>
      <w:marLeft w:val="0"/>
      <w:marRight w:val="0"/>
      <w:marTop w:val="0"/>
      <w:marBottom w:val="0"/>
      <w:divBdr>
        <w:top w:val="none" w:sz="0" w:space="0" w:color="auto"/>
        <w:left w:val="none" w:sz="0" w:space="0" w:color="auto"/>
        <w:bottom w:val="none" w:sz="0" w:space="0" w:color="auto"/>
        <w:right w:val="none" w:sz="0" w:space="0" w:color="auto"/>
      </w:divBdr>
    </w:div>
    <w:div w:id="1446072028">
      <w:bodyDiv w:val="1"/>
      <w:marLeft w:val="0"/>
      <w:marRight w:val="0"/>
      <w:marTop w:val="0"/>
      <w:marBottom w:val="0"/>
      <w:divBdr>
        <w:top w:val="none" w:sz="0" w:space="0" w:color="auto"/>
        <w:left w:val="none" w:sz="0" w:space="0" w:color="auto"/>
        <w:bottom w:val="none" w:sz="0" w:space="0" w:color="auto"/>
        <w:right w:val="none" w:sz="0" w:space="0" w:color="auto"/>
      </w:divBdr>
    </w:div>
    <w:div w:id="1447188449">
      <w:bodyDiv w:val="1"/>
      <w:marLeft w:val="0"/>
      <w:marRight w:val="0"/>
      <w:marTop w:val="0"/>
      <w:marBottom w:val="0"/>
      <w:divBdr>
        <w:top w:val="none" w:sz="0" w:space="0" w:color="auto"/>
        <w:left w:val="none" w:sz="0" w:space="0" w:color="auto"/>
        <w:bottom w:val="none" w:sz="0" w:space="0" w:color="auto"/>
        <w:right w:val="none" w:sz="0" w:space="0" w:color="auto"/>
      </w:divBdr>
    </w:div>
    <w:div w:id="1447893086">
      <w:bodyDiv w:val="1"/>
      <w:marLeft w:val="0"/>
      <w:marRight w:val="0"/>
      <w:marTop w:val="0"/>
      <w:marBottom w:val="0"/>
      <w:divBdr>
        <w:top w:val="none" w:sz="0" w:space="0" w:color="auto"/>
        <w:left w:val="none" w:sz="0" w:space="0" w:color="auto"/>
        <w:bottom w:val="none" w:sz="0" w:space="0" w:color="auto"/>
        <w:right w:val="none" w:sz="0" w:space="0" w:color="auto"/>
      </w:divBdr>
    </w:div>
    <w:div w:id="1454129305">
      <w:bodyDiv w:val="1"/>
      <w:marLeft w:val="0"/>
      <w:marRight w:val="0"/>
      <w:marTop w:val="0"/>
      <w:marBottom w:val="0"/>
      <w:divBdr>
        <w:top w:val="none" w:sz="0" w:space="0" w:color="auto"/>
        <w:left w:val="none" w:sz="0" w:space="0" w:color="auto"/>
        <w:bottom w:val="none" w:sz="0" w:space="0" w:color="auto"/>
        <w:right w:val="none" w:sz="0" w:space="0" w:color="auto"/>
      </w:divBdr>
    </w:div>
    <w:div w:id="1470325639">
      <w:bodyDiv w:val="1"/>
      <w:marLeft w:val="0"/>
      <w:marRight w:val="0"/>
      <w:marTop w:val="0"/>
      <w:marBottom w:val="0"/>
      <w:divBdr>
        <w:top w:val="none" w:sz="0" w:space="0" w:color="auto"/>
        <w:left w:val="none" w:sz="0" w:space="0" w:color="auto"/>
        <w:bottom w:val="none" w:sz="0" w:space="0" w:color="auto"/>
        <w:right w:val="none" w:sz="0" w:space="0" w:color="auto"/>
      </w:divBdr>
    </w:div>
    <w:div w:id="1472363819">
      <w:bodyDiv w:val="1"/>
      <w:marLeft w:val="0"/>
      <w:marRight w:val="0"/>
      <w:marTop w:val="0"/>
      <w:marBottom w:val="0"/>
      <w:divBdr>
        <w:top w:val="none" w:sz="0" w:space="0" w:color="auto"/>
        <w:left w:val="none" w:sz="0" w:space="0" w:color="auto"/>
        <w:bottom w:val="none" w:sz="0" w:space="0" w:color="auto"/>
        <w:right w:val="none" w:sz="0" w:space="0" w:color="auto"/>
      </w:divBdr>
    </w:div>
    <w:div w:id="1478885436">
      <w:bodyDiv w:val="1"/>
      <w:marLeft w:val="0"/>
      <w:marRight w:val="0"/>
      <w:marTop w:val="0"/>
      <w:marBottom w:val="0"/>
      <w:divBdr>
        <w:top w:val="none" w:sz="0" w:space="0" w:color="auto"/>
        <w:left w:val="none" w:sz="0" w:space="0" w:color="auto"/>
        <w:bottom w:val="none" w:sz="0" w:space="0" w:color="auto"/>
        <w:right w:val="none" w:sz="0" w:space="0" w:color="auto"/>
      </w:divBdr>
    </w:div>
    <w:div w:id="1478961709">
      <w:bodyDiv w:val="1"/>
      <w:marLeft w:val="0"/>
      <w:marRight w:val="0"/>
      <w:marTop w:val="0"/>
      <w:marBottom w:val="0"/>
      <w:divBdr>
        <w:top w:val="none" w:sz="0" w:space="0" w:color="auto"/>
        <w:left w:val="none" w:sz="0" w:space="0" w:color="auto"/>
        <w:bottom w:val="none" w:sz="0" w:space="0" w:color="auto"/>
        <w:right w:val="none" w:sz="0" w:space="0" w:color="auto"/>
      </w:divBdr>
    </w:div>
    <w:div w:id="1480346472">
      <w:bodyDiv w:val="1"/>
      <w:marLeft w:val="0"/>
      <w:marRight w:val="0"/>
      <w:marTop w:val="0"/>
      <w:marBottom w:val="0"/>
      <w:divBdr>
        <w:top w:val="none" w:sz="0" w:space="0" w:color="auto"/>
        <w:left w:val="none" w:sz="0" w:space="0" w:color="auto"/>
        <w:bottom w:val="none" w:sz="0" w:space="0" w:color="auto"/>
        <w:right w:val="none" w:sz="0" w:space="0" w:color="auto"/>
      </w:divBdr>
    </w:div>
    <w:div w:id="1481728850">
      <w:bodyDiv w:val="1"/>
      <w:marLeft w:val="0"/>
      <w:marRight w:val="0"/>
      <w:marTop w:val="0"/>
      <w:marBottom w:val="0"/>
      <w:divBdr>
        <w:top w:val="none" w:sz="0" w:space="0" w:color="auto"/>
        <w:left w:val="none" w:sz="0" w:space="0" w:color="auto"/>
        <w:bottom w:val="none" w:sz="0" w:space="0" w:color="auto"/>
        <w:right w:val="none" w:sz="0" w:space="0" w:color="auto"/>
      </w:divBdr>
    </w:div>
    <w:div w:id="1483736063">
      <w:bodyDiv w:val="1"/>
      <w:marLeft w:val="0"/>
      <w:marRight w:val="0"/>
      <w:marTop w:val="0"/>
      <w:marBottom w:val="0"/>
      <w:divBdr>
        <w:top w:val="none" w:sz="0" w:space="0" w:color="auto"/>
        <w:left w:val="none" w:sz="0" w:space="0" w:color="auto"/>
        <w:bottom w:val="none" w:sz="0" w:space="0" w:color="auto"/>
        <w:right w:val="none" w:sz="0" w:space="0" w:color="auto"/>
      </w:divBdr>
    </w:div>
    <w:div w:id="1489249023">
      <w:bodyDiv w:val="1"/>
      <w:marLeft w:val="0"/>
      <w:marRight w:val="0"/>
      <w:marTop w:val="0"/>
      <w:marBottom w:val="0"/>
      <w:divBdr>
        <w:top w:val="none" w:sz="0" w:space="0" w:color="auto"/>
        <w:left w:val="none" w:sz="0" w:space="0" w:color="auto"/>
        <w:bottom w:val="none" w:sz="0" w:space="0" w:color="auto"/>
        <w:right w:val="none" w:sz="0" w:space="0" w:color="auto"/>
      </w:divBdr>
    </w:div>
    <w:div w:id="1490251963">
      <w:bodyDiv w:val="1"/>
      <w:marLeft w:val="0"/>
      <w:marRight w:val="0"/>
      <w:marTop w:val="0"/>
      <w:marBottom w:val="0"/>
      <w:divBdr>
        <w:top w:val="none" w:sz="0" w:space="0" w:color="auto"/>
        <w:left w:val="none" w:sz="0" w:space="0" w:color="auto"/>
        <w:bottom w:val="none" w:sz="0" w:space="0" w:color="auto"/>
        <w:right w:val="none" w:sz="0" w:space="0" w:color="auto"/>
      </w:divBdr>
    </w:div>
    <w:div w:id="1500266345">
      <w:bodyDiv w:val="1"/>
      <w:marLeft w:val="0"/>
      <w:marRight w:val="0"/>
      <w:marTop w:val="0"/>
      <w:marBottom w:val="0"/>
      <w:divBdr>
        <w:top w:val="none" w:sz="0" w:space="0" w:color="auto"/>
        <w:left w:val="none" w:sz="0" w:space="0" w:color="auto"/>
        <w:bottom w:val="none" w:sz="0" w:space="0" w:color="auto"/>
        <w:right w:val="none" w:sz="0" w:space="0" w:color="auto"/>
      </w:divBdr>
    </w:div>
    <w:div w:id="1502115474">
      <w:bodyDiv w:val="1"/>
      <w:marLeft w:val="0"/>
      <w:marRight w:val="0"/>
      <w:marTop w:val="0"/>
      <w:marBottom w:val="0"/>
      <w:divBdr>
        <w:top w:val="none" w:sz="0" w:space="0" w:color="auto"/>
        <w:left w:val="none" w:sz="0" w:space="0" w:color="auto"/>
        <w:bottom w:val="none" w:sz="0" w:space="0" w:color="auto"/>
        <w:right w:val="none" w:sz="0" w:space="0" w:color="auto"/>
      </w:divBdr>
    </w:div>
    <w:div w:id="1511024352">
      <w:bodyDiv w:val="1"/>
      <w:marLeft w:val="0"/>
      <w:marRight w:val="0"/>
      <w:marTop w:val="0"/>
      <w:marBottom w:val="0"/>
      <w:divBdr>
        <w:top w:val="none" w:sz="0" w:space="0" w:color="auto"/>
        <w:left w:val="none" w:sz="0" w:space="0" w:color="auto"/>
        <w:bottom w:val="none" w:sz="0" w:space="0" w:color="auto"/>
        <w:right w:val="none" w:sz="0" w:space="0" w:color="auto"/>
      </w:divBdr>
    </w:div>
    <w:div w:id="1514765699">
      <w:bodyDiv w:val="1"/>
      <w:marLeft w:val="0"/>
      <w:marRight w:val="0"/>
      <w:marTop w:val="0"/>
      <w:marBottom w:val="0"/>
      <w:divBdr>
        <w:top w:val="none" w:sz="0" w:space="0" w:color="auto"/>
        <w:left w:val="none" w:sz="0" w:space="0" w:color="auto"/>
        <w:bottom w:val="none" w:sz="0" w:space="0" w:color="auto"/>
        <w:right w:val="none" w:sz="0" w:space="0" w:color="auto"/>
      </w:divBdr>
    </w:div>
    <w:div w:id="1516917639">
      <w:bodyDiv w:val="1"/>
      <w:marLeft w:val="0"/>
      <w:marRight w:val="0"/>
      <w:marTop w:val="0"/>
      <w:marBottom w:val="0"/>
      <w:divBdr>
        <w:top w:val="none" w:sz="0" w:space="0" w:color="auto"/>
        <w:left w:val="none" w:sz="0" w:space="0" w:color="auto"/>
        <w:bottom w:val="none" w:sz="0" w:space="0" w:color="auto"/>
        <w:right w:val="none" w:sz="0" w:space="0" w:color="auto"/>
      </w:divBdr>
    </w:div>
    <w:div w:id="1517304979">
      <w:bodyDiv w:val="1"/>
      <w:marLeft w:val="0"/>
      <w:marRight w:val="0"/>
      <w:marTop w:val="0"/>
      <w:marBottom w:val="0"/>
      <w:divBdr>
        <w:top w:val="none" w:sz="0" w:space="0" w:color="auto"/>
        <w:left w:val="none" w:sz="0" w:space="0" w:color="auto"/>
        <w:bottom w:val="none" w:sz="0" w:space="0" w:color="auto"/>
        <w:right w:val="none" w:sz="0" w:space="0" w:color="auto"/>
      </w:divBdr>
    </w:div>
    <w:div w:id="1522159224">
      <w:bodyDiv w:val="1"/>
      <w:marLeft w:val="0"/>
      <w:marRight w:val="0"/>
      <w:marTop w:val="0"/>
      <w:marBottom w:val="0"/>
      <w:divBdr>
        <w:top w:val="none" w:sz="0" w:space="0" w:color="auto"/>
        <w:left w:val="none" w:sz="0" w:space="0" w:color="auto"/>
        <w:bottom w:val="none" w:sz="0" w:space="0" w:color="auto"/>
        <w:right w:val="none" w:sz="0" w:space="0" w:color="auto"/>
      </w:divBdr>
    </w:div>
    <w:div w:id="1529099999">
      <w:bodyDiv w:val="1"/>
      <w:marLeft w:val="0"/>
      <w:marRight w:val="0"/>
      <w:marTop w:val="0"/>
      <w:marBottom w:val="0"/>
      <w:divBdr>
        <w:top w:val="none" w:sz="0" w:space="0" w:color="auto"/>
        <w:left w:val="none" w:sz="0" w:space="0" w:color="auto"/>
        <w:bottom w:val="none" w:sz="0" w:space="0" w:color="auto"/>
        <w:right w:val="none" w:sz="0" w:space="0" w:color="auto"/>
      </w:divBdr>
    </w:div>
    <w:div w:id="1531645261">
      <w:bodyDiv w:val="1"/>
      <w:marLeft w:val="0"/>
      <w:marRight w:val="0"/>
      <w:marTop w:val="0"/>
      <w:marBottom w:val="0"/>
      <w:divBdr>
        <w:top w:val="none" w:sz="0" w:space="0" w:color="auto"/>
        <w:left w:val="none" w:sz="0" w:space="0" w:color="auto"/>
        <w:bottom w:val="none" w:sz="0" w:space="0" w:color="auto"/>
        <w:right w:val="none" w:sz="0" w:space="0" w:color="auto"/>
      </w:divBdr>
    </w:div>
    <w:div w:id="1532957723">
      <w:bodyDiv w:val="1"/>
      <w:marLeft w:val="0"/>
      <w:marRight w:val="0"/>
      <w:marTop w:val="0"/>
      <w:marBottom w:val="0"/>
      <w:divBdr>
        <w:top w:val="none" w:sz="0" w:space="0" w:color="auto"/>
        <w:left w:val="none" w:sz="0" w:space="0" w:color="auto"/>
        <w:bottom w:val="none" w:sz="0" w:space="0" w:color="auto"/>
        <w:right w:val="none" w:sz="0" w:space="0" w:color="auto"/>
      </w:divBdr>
    </w:div>
    <w:div w:id="1535076599">
      <w:bodyDiv w:val="1"/>
      <w:marLeft w:val="0"/>
      <w:marRight w:val="0"/>
      <w:marTop w:val="0"/>
      <w:marBottom w:val="0"/>
      <w:divBdr>
        <w:top w:val="none" w:sz="0" w:space="0" w:color="auto"/>
        <w:left w:val="none" w:sz="0" w:space="0" w:color="auto"/>
        <w:bottom w:val="none" w:sz="0" w:space="0" w:color="auto"/>
        <w:right w:val="none" w:sz="0" w:space="0" w:color="auto"/>
      </w:divBdr>
    </w:div>
    <w:div w:id="1542280868">
      <w:bodyDiv w:val="1"/>
      <w:marLeft w:val="0"/>
      <w:marRight w:val="0"/>
      <w:marTop w:val="0"/>
      <w:marBottom w:val="0"/>
      <w:divBdr>
        <w:top w:val="none" w:sz="0" w:space="0" w:color="auto"/>
        <w:left w:val="none" w:sz="0" w:space="0" w:color="auto"/>
        <w:bottom w:val="none" w:sz="0" w:space="0" w:color="auto"/>
        <w:right w:val="none" w:sz="0" w:space="0" w:color="auto"/>
      </w:divBdr>
    </w:div>
    <w:div w:id="1545363429">
      <w:bodyDiv w:val="1"/>
      <w:marLeft w:val="0"/>
      <w:marRight w:val="0"/>
      <w:marTop w:val="0"/>
      <w:marBottom w:val="0"/>
      <w:divBdr>
        <w:top w:val="none" w:sz="0" w:space="0" w:color="auto"/>
        <w:left w:val="none" w:sz="0" w:space="0" w:color="auto"/>
        <w:bottom w:val="none" w:sz="0" w:space="0" w:color="auto"/>
        <w:right w:val="none" w:sz="0" w:space="0" w:color="auto"/>
      </w:divBdr>
    </w:div>
    <w:div w:id="1552766020">
      <w:bodyDiv w:val="1"/>
      <w:marLeft w:val="0"/>
      <w:marRight w:val="0"/>
      <w:marTop w:val="0"/>
      <w:marBottom w:val="0"/>
      <w:divBdr>
        <w:top w:val="none" w:sz="0" w:space="0" w:color="auto"/>
        <w:left w:val="none" w:sz="0" w:space="0" w:color="auto"/>
        <w:bottom w:val="none" w:sz="0" w:space="0" w:color="auto"/>
        <w:right w:val="none" w:sz="0" w:space="0" w:color="auto"/>
      </w:divBdr>
    </w:div>
    <w:div w:id="1562449649">
      <w:bodyDiv w:val="1"/>
      <w:marLeft w:val="0"/>
      <w:marRight w:val="0"/>
      <w:marTop w:val="0"/>
      <w:marBottom w:val="0"/>
      <w:divBdr>
        <w:top w:val="none" w:sz="0" w:space="0" w:color="auto"/>
        <w:left w:val="none" w:sz="0" w:space="0" w:color="auto"/>
        <w:bottom w:val="none" w:sz="0" w:space="0" w:color="auto"/>
        <w:right w:val="none" w:sz="0" w:space="0" w:color="auto"/>
      </w:divBdr>
    </w:div>
    <w:div w:id="1569654553">
      <w:bodyDiv w:val="1"/>
      <w:marLeft w:val="0"/>
      <w:marRight w:val="0"/>
      <w:marTop w:val="0"/>
      <w:marBottom w:val="0"/>
      <w:divBdr>
        <w:top w:val="none" w:sz="0" w:space="0" w:color="auto"/>
        <w:left w:val="none" w:sz="0" w:space="0" w:color="auto"/>
        <w:bottom w:val="none" w:sz="0" w:space="0" w:color="auto"/>
        <w:right w:val="none" w:sz="0" w:space="0" w:color="auto"/>
      </w:divBdr>
    </w:div>
    <w:div w:id="1574199797">
      <w:bodyDiv w:val="1"/>
      <w:marLeft w:val="0"/>
      <w:marRight w:val="0"/>
      <w:marTop w:val="0"/>
      <w:marBottom w:val="0"/>
      <w:divBdr>
        <w:top w:val="none" w:sz="0" w:space="0" w:color="auto"/>
        <w:left w:val="none" w:sz="0" w:space="0" w:color="auto"/>
        <w:bottom w:val="none" w:sz="0" w:space="0" w:color="auto"/>
        <w:right w:val="none" w:sz="0" w:space="0" w:color="auto"/>
      </w:divBdr>
    </w:div>
    <w:div w:id="1576666229">
      <w:bodyDiv w:val="1"/>
      <w:marLeft w:val="0"/>
      <w:marRight w:val="0"/>
      <w:marTop w:val="0"/>
      <w:marBottom w:val="0"/>
      <w:divBdr>
        <w:top w:val="none" w:sz="0" w:space="0" w:color="auto"/>
        <w:left w:val="none" w:sz="0" w:space="0" w:color="auto"/>
        <w:bottom w:val="none" w:sz="0" w:space="0" w:color="auto"/>
        <w:right w:val="none" w:sz="0" w:space="0" w:color="auto"/>
      </w:divBdr>
    </w:div>
    <w:div w:id="1579165947">
      <w:bodyDiv w:val="1"/>
      <w:marLeft w:val="0"/>
      <w:marRight w:val="0"/>
      <w:marTop w:val="0"/>
      <w:marBottom w:val="0"/>
      <w:divBdr>
        <w:top w:val="none" w:sz="0" w:space="0" w:color="auto"/>
        <w:left w:val="none" w:sz="0" w:space="0" w:color="auto"/>
        <w:bottom w:val="none" w:sz="0" w:space="0" w:color="auto"/>
        <w:right w:val="none" w:sz="0" w:space="0" w:color="auto"/>
      </w:divBdr>
    </w:div>
    <w:div w:id="1584410871">
      <w:bodyDiv w:val="1"/>
      <w:marLeft w:val="0"/>
      <w:marRight w:val="0"/>
      <w:marTop w:val="0"/>
      <w:marBottom w:val="0"/>
      <w:divBdr>
        <w:top w:val="none" w:sz="0" w:space="0" w:color="auto"/>
        <w:left w:val="none" w:sz="0" w:space="0" w:color="auto"/>
        <w:bottom w:val="none" w:sz="0" w:space="0" w:color="auto"/>
        <w:right w:val="none" w:sz="0" w:space="0" w:color="auto"/>
      </w:divBdr>
    </w:div>
    <w:div w:id="1593390981">
      <w:bodyDiv w:val="1"/>
      <w:marLeft w:val="0"/>
      <w:marRight w:val="0"/>
      <w:marTop w:val="0"/>
      <w:marBottom w:val="0"/>
      <w:divBdr>
        <w:top w:val="none" w:sz="0" w:space="0" w:color="auto"/>
        <w:left w:val="none" w:sz="0" w:space="0" w:color="auto"/>
        <w:bottom w:val="none" w:sz="0" w:space="0" w:color="auto"/>
        <w:right w:val="none" w:sz="0" w:space="0" w:color="auto"/>
      </w:divBdr>
    </w:div>
    <w:div w:id="1595240576">
      <w:bodyDiv w:val="1"/>
      <w:marLeft w:val="0"/>
      <w:marRight w:val="0"/>
      <w:marTop w:val="0"/>
      <w:marBottom w:val="0"/>
      <w:divBdr>
        <w:top w:val="none" w:sz="0" w:space="0" w:color="auto"/>
        <w:left w:val="none" w:sz="0" w:space="0" w:color="auto"/>
        <w:bottom w:val="none" w:sz="0" w:space="0" w:color="auto"/>
        <w:right w:val="none" w:sz="0" w:space="0" w:color="auto"/>
      </w:divBdr>
    </w:div>
    <w:div w:id="1597909466">
      <w:bodyDiv w:val="1"/>
      <w:marLeft w:val="0"/>
      <w:marRight w:val="0"/>
      <w:marTop w:val="0"/>
      <w:marBottom w:val="0"/>
      <w:divBdr>
        <w:top w:val="none" w:sz="0" w:space="0" w:color="auto"/>
        <w:left w:val="none" w:sz="0" w:space="0" w:color="auto"/>
        <w:bottom w:val="none" w:sz="0" w:space="0" w:color="auto"/>
        <w:right w:val="none" w:sz="0" w:space="0" w:color="auto"/>
      </w:divBdr>
    </w:div>
    <w:div w:id="1599679106">
      <w:bodyDiv w:val="1"/>
      <w:marLeft w:val="0"/>
      <w:marRight w:val="0"/>
      <w:marTop w:val="0"/>
      <w:marBottom w:val="0"/>
      <w:divBdr>
        <w:top w:val="none" w:sz="0" w:space="0" w:color="auto"/>
        <w:left w:val="none" w:sz="0" w:space="0" w:color="auto"/>
        <w:bottom w:val="none" w:sz="0" w:space="0" w:color="auto"/>
        <w:right w:val="none" w:sz="0" w:space="0" w:color="auto"/>
      </w:divBdr>
    </w:div>
    <w:div w:id="1600678021">
      <w:bodyDiv w:val="1"/>
      <w:marLeft w:val="0"/>
      <w:marRight w:val="0"/>
      <w:marTop w:val="0"/>
      <w:marBottom w:val="0"/>
      <w:divBdr>
        <w:top w:val="none" w:sz="0" w:space="0" w:color="auto"/>
        <w:left w:val="none" w:sz="0" w:space="0" w:color="auto"/>
        <w:bottom w:val="none" w:sz="0" w:space="0" w:color="auto"/>
        <w:right w:val="none" w:sz="0" w:space="0" w:color="auto"/>
      </w:divBdr>
    </w:div>
    <w:div w:id="1608271597">
      <w:bodyDiv w:val="1"/>
      <w:marLeft w:val="0"/>
      <w:marRight w:val="0"/>
      <w:marTop w:val="0"/>
      <w:marBottom w:val="0"/>
      <w:divBdr>
        <w:top w:val="none" w:sz="0" w:space="0" w:color="auto"/>
        <w:left w:val="none" w:sz="0" w:space="0" w:color="auto"/>
        <w:bottom w:val="none" w:sz="0" w:space="0" w:color="auto"/>
        <w:right w:val="none" w:sz="0" w:space="0" w:color="auto"/>
      </w:divBdr>
    </w:div>
    <w:div w:id="1612514750">
      <w:bodyDiv w:val="1"/>
      <w:marLeft w:val="0"/>
      <w:marRight w:val="0"/>
      <w:marTop w:val="0"/>
      <w:marBottom w:val="0"/>
      <w:divBdr>
        <w:top w:val="none" w:sz="0" w:space="0" w:color="auto"/>
        <w:left w:val="none" w:sz="0" w:space="0" w:color="auto"/>
        <w:bottom w:val="none" w:sz="0" w:space="0" w:color="auto"/>
        <w:right w:val="none" w:sz="0" w:space="0" w:color="auto"/>
      </w:divBdr>
    </w:div>
    <w:div w:id="1614628054">
      <w:bodyDiv w:val="1"/>
      <w:marLeft w:val="0"/>
      <w:marRight w:val="0"/>
      <w:marTop w:val="0"/>
      <w:marBottom w:val="0"/>
      <w:divBdr>
        <w:top w:val="none" w:sz="0" w:space="0" w:color="auto"/>
        <w:left w:val="none" w:sz="0" w:space="0" w:color="auto"/>
        <w:bottom w:val="none" w:sz="0" w:space="0" w:color="auto"/>
        <w:right w:val="none" w:sz="0" w:space="0" w:color="auto"/>
      </w:divBdr>
    </w:div>
    <w:div w:id="1615206553">
      <w:bodyDiv w:val="1"/>
      <w:marLeft w:val="0"/>
      <w:marRight w:val="0"/>
      <w:marTop w:val="0"/>
      <w:marBottom w:val="0"/>
      <w:divBdr>
        <w:top w:val="none" w:sz="0" w:space="0" w:color="auto"/>
        <w:left w:val="none" w:sz="0" w:space="0" w:color="auto"/>
        <w:bottom w:val="none" w:sz="0" w:space="0" w:color="auto"/>
        <w:right w:val="none" w:sz="0" w:space="0" w:color="auto"/>
      </w:divBdr>
    </w:div>
    <w:div w:id="1617709223">
      <w:bodyDiv w:val="1"/>
      <w:marLeft w:val="0"/>
      <w:marRight w:val="0"/>
      <w:marTop w:val="0"/>
      <w:marBottom w:val="0"/>
      <w:divBdr>
        <w:top w:val="none" w:sz="0" w:space="0" w:color="auto"/>
        <w:left w:val="none" w:sz="0" w:space="0" w:color="auto"/>
        <w:bottom w:val="none" w:sz="0" w:space="0" w:color="auto"/>
        <w:right w:val="none" w:sz="0" w:space="0" w:color="auto"/>
      </w:divBdr>
    </w:div>
    <w:div w:id="1621108668">
      <w:bodyDiv w:val="1"/>
      <w:marLeft w:val="0"/>
      <w:marRight w:val="0"/>
      <w:marTop w:val="0"/>
      <w:marBottom w:val="0"/>
      <w:divBdr>
        <w:top w:val="none" w:sz="0" w:space="0" w:color="auto"/>
        <w:left w:val="none" w:sz="0" w:space="0" w:color="auto"/>
        <w:bottom w:val="none" w:sz="0" w:space="0" w:color="auto"/>
        <w:right w:val="none" w:sz="0" w:space="0" w:color="auto"/>
      </w:divBdr>
    </w:div>
    <w:div w:id="1626543906">
      <w:bodyDiv w:val="1"/>
      <w:marLeft w:val="0"/>
      <w:marRight w:val="0"/>
      <w:marTop w:val="0"/>
      <w:marBottom w:val="0"/>
      <w:divBdr>
        <w:top w:val="none" w:sz="0" w:space="0" w:color="auto"/>
        <w:left w:val="none" w:sz="0" w:space="0" w:color="auto"/>
        <w:bottom w:val="none" w:sz="0" w:space="0" w:color="auto"/>
        <w:right w:val="none" w:sz="0" w:space="0" w:color="auto"/>
      </w:divBdr>
    </w:div>
    <w:div w:id="1627153411">
      <w:bodyDiv w:val="1"/>
      <w:marLeft w:val="0"/>
      <w:marRight w:val="0"/>
      <w:marTop w:val="0"/>
      <w:marBottom w:val="0"/>
      <w:divBdr>
        <w:top w:val="none" w:sz="0" w:space="0" w:color="auto"/>
        <w:left w:val="none" w:sz="0" w:space="0" w:color="auto"/>
        <w:bottom w:val="none" w:sz="0" w:space="0" w:color="auto"/>
        <w:right w:val="none" w:sz="0" w:space="0" w:color="auto"/>
      </w:divBdr>
    </w:div>
    <w:div w:id="1629554043">
      <w:bodyDiv w:val="1"/>
      <w:marLeft w:val="0"/>
      <w:marRight w:val="0"/>
      <w:marTop w:val="0"/>
      <w:marBottom w:val="0"/>
      <w:divBdr>
        <w:top w:val="none" w:sz="0" w:space="0" w:color="auto"/>
        <w:left w:val="none" w:sz="0" w:space="0" w:color="auto"/>
        <w:bottom w:val="none" w:sz="0" w:space="0" w:color="auto"/>
        <w:right w:val="none" w:sz="0" w:space="0" w:color="auto"/>
      </w:divBdr>
    </w:div>
    <w:div w:id="1630628967">
      <w:bodyDiv w:val="1"/>
      <w:marLeft w:val="0"/>
      <w:marRight w:val="0"/>
      <w:marTop w:val="0"/>
      <w:marBottom w:val="0"/>
      <w:divBdr>
        <w:top w:val="none" w:sz="0" w:space="0" w:color="auto"/>
        <w:left w:val="none" w:sz="0" w:space="0" w:color="auto"/>
        <w:bottom w:val="none" w:sz="0" w:space="0" w:color="auto"/>
        <w:right w:val="none" w:sz="0" w:space="0" w:color="auto"/>
      </w:divBdr>
    </w:div>
    <w:div w:id="1632400610">
      <w:bodyDiv w:val="1"/>
      <w:marLeft w:val="0"/>
      <w:marRight w:val="0"/>
      <w:marTop w:val="0"/>
      <w:marBottom w:val="0"/>
      <w:divBdr>
        <w:top w:val="none" w:sz="0" w:space="0" w:color="auto"/>
        <w:left w:val="none" w:sz="0" w:space="0" w:color="auto"/>
        <w:bottom w:val="none" w:sz="0" w:space="0" w:color="auto"/>
        <w:right w:val="none" w:sz="0" w:space="0" w:color="auto"/>
      </w:divBdr>
    </w:div>
    <w:div w:id="1632587816">
      <w:bodyDiv w:val="1"/>
      <w:marLeft w:val="0"/>
      <w:marRight w:val="0"/>
      <w:marTop w:val="0"/>
      <w:marBottom w:val="0"/>
      <w:divBdr>
        <w:top w:val="none" w:sz="0" w:space="0" w:color="auto"/>
        <w:left w:val="none" w:sz="0" w:space="0" w:color="auto"/>
        <w:bottom w:val="none" w:sz="0" w:space="0" w:color="auto"/>
        <w:right w:val="none" w:sz="0" w:space="0" w:color="auto"/>
      </w:divBdr>
    </w:div>
    <w:div w:id="1635483199">
      <w:bodyDiv w:val="1"/>
      <w:marLeft w:val="0"/>
      <w:marRight w:val="0"/>
      <w:marTop w:val="0"/>
      <w:marBottom w:val="0"/>
      <w:divBdr>
        <w:top w:val="none" w:sz="0" w:space="0" w:color="auto"/>
        <w:left w:val="none" w:sz="0" w:space="0" w:color="auto"/>
        <w:bottom w:val="none" w:sz="0" w:space="0" w:color="auto"/>
        <w:right w:val="none" w:sz="0" w:space="0" w:color="auto"/>
      </w:divBdr>
    </w:div>
    <w:div w:id="1638338362">
      <w:bodyDiv w:val="1"/>
      <w:marLeft w:val="0"/>
      <w:marRight w:val="0"/>
      <w:marTop w:val="0"/>
      <w:marBottom w:val="0"/>
      <w:divBdr>
        <w:top w:val="none" w:sz="0" w:space="0" w:color="auto"/>
        <w:left w:val="none" w:sz="0" w:space="0" w:color="auto"/>
        <w:bottom w:val="none" w:sz="0" w:space="0" w:color="auto"/>
        <w:right w:val="none" w:sz="0" w:space="0" w:color="auto"/>
      </w:divBdr>
    </w:div>
    <w:div w:id="1638340691">
      <w:bodyDiv w:val="1"/>
      <w:marLeft w:val="0"/>
      <w:marRight w:val="0"/>
      <w:marTop w:val="0"/>
      <w:marBottom w:val="0"/>
      <w:divBdr>
        <w:top w:val="none" w:sz="0" w:space="0" w:color="auto"/>
        <w:left w:val="none" w:sz="0" w:space="0" w:color="auto"/>
        <w:bottom w:val="none" w:sz="0" w:space="0" w:color="auto"/>
        <w:right w:val="none" w:sz="0" w:space="0" w:color="auto"/>
      </w:divBdr>
    </w:div>
    <w:div w:id="1639723343">
      <w:bodyDiv w:val="1"/>
      <w:marLeft w:val="0"/>
      <w:marRight w:val="0"/>
      <w:marTop w:val="0"/>
      <w:marBottom w:val="0"/>
      <w:divBdr>
        <w:top w:val="none" w:sz="0" w:space="0" w:color="auto"/>
        <w:left w:val="none" w:sz="0" w:space="0" w:color="auto"/>
        <w:bottom w:val="none" w:sz="0" w:space="0" w:color="auto"/>
        <w:right w:val="none" w:sz="0" w:space="0" w:color="auto"/>
      </w:divBdr>
    </w:div>
    <w:div w:id="1640114153">
      <w:bodyDiv w:val="1"/>
      <w:marLeft w:val="0"/>
      <w:marRight w:val="0"/>
      <w:marTop w:val="0"/>
      <w:marBottom w:val="0"/>
      <w:divBdr>
        <w:top w:val="none" w:sz="0" w:space="0" w:color="auto"/>
        <w:left w:val="none" w:sz="0" w:space="0" w:color="auto"/>
        <w:bottom w:val="none" w:sz="0" w:space="0" w:color="auto"/>
        <w:right w:val="none" w:sz="0" w:space="0" w:color="auto"/>
      </w:divBdr>
    </w:div>
    <w:div w:id="1646931097">
      <w:bodyDiv w:val="1"/>
      <w:marLeft w:val="0"/>
      <w:marRight w:val="0"/>
      <w:marTop w:val="0"/>
      <w:marBottom w:val="0"/>
      <w:divBdr>
        <w:top w:val="none" w:sz="0" w:space="0" w:color="auto"/>
        <w:left w:val="none" w:sz="0" w:space="0" w:color="auto"/>
        <w:bottom w:val="none" w:sz="0" w:space="0" w:color="auto"/>
        <w:right w:val="none" w:sz="0" w:space="0" w:color="auto"/>
      </w:divBdr>
    </w:div>
    <w:div w:id="1647736571">
      <w:bodyDiv w:val="1"/>
      <w:marLeft w:val="0"/>
      <w:marRight w:val="0"/>
      <w:marTop w:val="0"/>
      <w:marBottom w:val="0"/>
      <w:divBdr>
        <w:top w:val="none" w:sz="0" w:space="0" w:color="auto"/>
        <w:left w:val="none" w:sz="0" w:space="0" w:color="auto"/>
        <w:bottom w:val="none" w:sz="0" w:space="0" w:color="auto"/>
        <w:right w:val="none" w:sz="0" w:space="0" w:color="auto"/>
      </w:divBdr>
    </w:div>
    <w:div w:id="1651902097">
      <w:bodyDiv w:val="1"/>
      <w:marLeft w:val="0"/>
      <w:marRight w:val="0"/>
      <w:marTop w:val="0"/>
      <w:marBottom w:val="0"/>
      <w:divBdr>
        <w:top w:val="none" w:sz="0" w:space="0" w:color="auto"/>
        <w:left w:val="none" w:sz="0" w:space="0" w:color="auto"/>
        <w:bottom w:val="none" w:sz="0" w:space="0" w:color="auto"/>
        <w:right w:val="none" w:sz="0" w:space="0" w:color="auto"/>
      </w:divBdr>
    </w:div>
    <w:div w:id="1660158981">
      <w:bodyDiv w:val="1"/>
      <w:marLeft w:val="0"/>
      <w:marRight w:val="0"/>
      <w:marTop w:val="0"/>
      <w:marBottom w:val="0"/>
      <w:divBdr>
        <w:top w:val="none" w:sz="0" w:space="0" w:color="auto"/>
        <w:left w:val="none" w:sz="0" w:space="0" w:color="auto"/>
        <w:bottom w:val="none" w:sz="0" w:space="0" w:color="auto"/>
        <w:right w:val="none" w:sz="0" w:space="0" w:color="auto"/>
      </w:divBdr>
    </w:div>
    <w:div w:id="1660159246">
      <w:bodyDiv w:val="1"/>
      <w:marLeft w:val="0"/>
      <w:marRight w:val="0"/>
      <w:marTop w:val="0"/>
      <w:marBottom w:val="0"/>
      <w:divBdr>
        <w:top w:val="none" w:sz="0" w:space="0" w:color="auto"/>
        <w:left w:val="none" w:sz="0" w:space="0" w:color="auto"/>
        <w:bottom w:val="none" w:sz="0" w:space="0" w:color="auto"/>
        <w:right w:val="none" w:sz="0" w:space="0" w:color="auto"/>
      </w:divBdr>
    </w:div>
    <w:div w:id="1662075033">
      <w:bodyDiv w:val="1"/>
      <w:marLeft w:val="0"/>
      <w:marRight w:val="0"/>
      <w:marTop w:val="0"/>
      <w:marBottom w:val="0"/>
      <w:divBdr>
        <w:top w:val="none" w:sz="0" w:space="0" w:color="auto"/>
        <w:left w:val="none" w:sz="0" w:space="0" w:color="auto"/>
        <w:bottom w:val="none" w:sz="0" w:space="0" w:color="auto"/>
        <w:right w:val="none" w:sz="0" w:space="0" w:color="auto"/>
      </w:divBdr>
    </w:div>
    <w:div w:id="1674917260">
      <w:bodyDiv w:val="1"/>
      <w:marLeft w:val="0"/>
      <w:marRight w:val="0"/>
      <w:marTop w:val="0"/>
      <w:marBottom w:val="0"/>
      <w:divBdr>
        <w:top w:val="none" w:sz="0" w:space="0" w:color="auto"/>
        <w:left w:val="none" w:sz="0" w:space="0" w:color="auto"/>
        <w:bottom w:val="none" w:sz="0" w:space="0" w:color="auto"/>
        <w:right w:val="none" w:sz="0" w:space="0" w:color="auto"/>
      </w:divBdr>
    </w:div>
    <w:div w:id="1680156948">
      <w:bodyDiv w:val="1"/>
      <w:marLeft w:val="0"/>
      <w:marRight w:val="0"/>
      <w:marTop w:val="0"/>
      <w:marBottom w:val="0"/>
      <w:divBdr>
        <w:top w:val="none" w:sz="0" w:space="0" w:color="auto"/>
        <w:left w:val="none" w:sz="0" w:space="0" w:color="auto"/>
        <w:bottom w:val="none" w:sz="0" w:space="0" w:color="auto"/>
        <w:right w:val="none" w:sz="0" w:space="0" w:color="auto"/>
      </w:divBdr>
    </w:div>
    <w:div w:id="1684551678">
      <w:bodyDiv w:val="1"/>
      <w:marLeft w:val="0"/>
      <w:marRight w:val="0"/>
      <w:marTop w:val="0"/>
      <w:marBottom w:val="0"/>
      <w:divBdr>
        <w:top w:val="none" w:sz="0" w:space="0" w:color="auto"/>
        <w:left w:val="none" w:sz="0" w:space="0" w:color="auto"/>
        <w:bottom w:val="none" w:sz="0" w:space="0" w:color="auto"/>
        <w:right w:val="none" w:sz="0" w:space="0" w:color="auto"/>
      </w:divBdr>
    </w:div>
    <w:div w:id="1684940066">
      <w:bodyDiv w:val="1"/>
      <w:marLeft w:val="0"/>
      <w:marRight w:val="0"/>
      <w:marTop w:val="0"/>
      <w:marBottom w:val="0"/>
      <w:divBdr>
        <w:top w:val="none" w:sz="0" w:space="0" w:color="auto"/>
        <w:left w:val="none" w:sz="0" w:space="0" w:color="auto"/>
        <w:bottom w:val="none" w:sz="0" w:space="0" w:color="auto"/>
        <w:right w:val="none" w:sz="0" w:space="0" w:color="auto"/>
      </w:divBdr>
    </w:div>
    <w:div w:id="1685743629">
      <w:bodyDiv w:val="1"/>
      <w:marLeft w:val="0"/>
      <w:marRight w:val="0"/>
      <w:marTop w:val="0"/>
      <w:marBottom w:val="0"/>
      <w:divBdr>
        <w:top w:val="none" w:sz="0" w:space="0" w:color="auto"/>
        <w:left w:val="none" w:sz="0" w:space="0" w:color="auto"/>
        <w:bottom w:val="none" w:sz="0" w:space="0" w:color="auto"/>
        <w:right w:val="none" w:sz="0" w:space="0" w:color="auto"/>
      </w:divBdr>
    </w:div>
    <w:div w:id="1688285414">
      <w:bodyDiv w:val="1"/>
      <w:marLeft w:val="0"/>
      <w:marRight w:val="0"/>
      <w:marTop w:val="0"/>
      <w:marBottom w:val="0"/>
      <w:divBdr>
        <w:top w:val="none" w:sz="0" w:space="0" w:color="auto"/>
        <w:left w:val="none" w:sz="0" w:space="0" w:color="auto"/>
        <w:bottom w:val="none" w:sz="0" w:space="0" w:color="auto"/>
        <w:right w:val="none" w:sz="0" w:space="0" w:color="auto"/>
      </w:divBdr>
    </w:div>
    <w:div w:id="1690715656">
      <w:bodyDiv w:val="1"/>
      <w:marLeft w:val="0"/>
      <w:marRight w:val="0"/>
      <w:marTop w:val="0"/>
      <w:marBottom w:val="0"/>
      <w:divBdr>
        <w:top w:val="none" w:sz="0" w:space="0" w:color="auto"/>
        <w:left w:val="none" w:sz="0" w:space="0" w:color="auto"/>
        <w:bottom w:val="none" w:sz="0" w:space="0" w:color="auto"/>
        <w:right w:val="none" w:sz="0" w:space="0" w:color="auto"/>
      </w:divBdr>
    </w:div>
    <w:div w:id="1691375201">
      <w:bodyDiv w:val="1"/>
      <w:marLeft w:val="0"/>
      <w:marRight w:val="0"/>
      <w:marTop w:val="0"/>
      <w:marBottom w:val="0"/>
      <w:divBdr>
        <w:top w:val="none" w:sz="0" w:space="0" w:color="auto"/>
        <w:left w:val="none" w:sz="0" w:space="0" w:color="auto"/>
        <w:bottom w:val="none" w:sz="0" w:space="0" w:color="auto"/>
        <w:right w:val="none" w:sz="0" w:space="0" w:color="auto"/>
      </w:divBdr>
    </w:div>
    <w:div w:id="1692803664">
      <w:bodyDiv w:val="1"/>
      <w:marLeft w:val="0"/>
      <w:marRight w:val="0"/>
      <w:marTop w:val="0"/>
      <w:marBottom w:val="0"/>
      <w:divBdr>
        <w:top w:val="none" w:sz="0" w:space="0" w:color="auto"/>
        <w:left w:val="none" w:sz="0" w:space="0" w:color="auto"/>
        <w:bottom w:val="none" w:sz="0" w:space="0" w:color="auto"/>
        <w:right w:val="none" w:sz="0" w:space="0" w:color="auto"/>
      </w:divBdr>
    </w:div>
    <w:div w:id="1693843609">
      <w:bodyDiv w:val="1"/>
      <w:marLeft w:val="0"/>
      <w:marRight w:val="0"/>
      <w:marTop w:val="0"/>
      <w:marBottom w:val="0"/>
      <w:divBdr>
        <w:top w:val="none" w:sz="0" w:space="0" w:color="auto"/>
        <w:left w:val="none" w:sz="0" w:space="0" w:color="auto"/>
        <w:bottom w:val="none" w:sz="0" w:space="0" w:color="auto"/>
        <w:right w:val="none" w:sz="0" w:space="0" w:color="auto"/>
      </w:divBdr>
    </w:div>
    <w:div w:id="1697463406">
      <w:bodyDiv w:val="1"/>
      <w:marLeft w:val="0"/>
      <w:marRight w:val="0"/>
      <w:marTop w:val="0"/>
      <w:marBottom w:val="0"/>
      <w:divBdr>
        <w:top w:val="none" w:sz="0" w:space="0" w:color="auto"/>
        <w:left w:val="none" w:sz="0" w:space="0" w:color="auto"/>
        <w:bottom w:val="none" w:sz="0" w:space="0" w:color="auto"/>
        <w:right w:val="none" w:sz="0" w:space="0" w:color="auto"/>
      </w:divBdr>
    </w:div>
    <w:div w:id="1700621837">
      <w:bodyDiv w:val="1"/>
      <w:marLeft w:val="0"/>
      <w:marRight w:val="0"/>
      <w:marTop w:val="0"/>
      <w:marBottom w:val="0"/>
      <w:divBdr>
        <w:top w:val="none" w:sz="0" w:space="0" w:color="auto"/>
        <w:left w:val="none" w:sz="0" w:space="0" w:color="auto"/>
        <w:bottom w:val="none" w:sz="0" w:space="0" w:color="auto"/>
        <w:right w:val="none" w:sz="0" w:space="0" w:color="auto"/>
      </w:divBdr>
    </w:div>
    <w:div w:id="1707681707">
      <w:bodyDiv w:val="1"/>
      <w:marLeft w:val="0"/>
      <w:marRight w:val="0"/>
      <w:marTop w:val="0"/>
      <w:marBottom w:val="0"/>
      <w:divBdr>
        <w:top w:val="none" w:sz="0" w:space="0" w:color="auto"/>
        <w:left w:val="none" w:sz="0" w:space="0" w:color="auto"/>
        <w:bottom w:val="none" w:sz="0" w:space="0" w:color="auto"/>
        <w:right w:val="none" w:sz="0" w:space="0" w:color="auto"/>
      </w:divBdr>
    </w:div>
    <w:div w:id="1713648336">
      <w:bodyDiv w:val="1"/>
      <w:marLeft w:val="0"/>
      <w:marRight w:val="0"/>
      <w:marTop w:val="0"/>
      <w:marBottom w:val="0"/>
      <w:divBdr>
        <w:top w:val="none" w:sz="0" w:space="0" w:color="auto"/>
        <w:left w:val="none" w:sz="0" w:space="0" w:color="auto"/>
        <w:bottom w:val="none" w:sz="0" w:space="0" w:color="auto"/>
        <w:right w:val="none" w:sz="0" w:space="0" w:color="auto"/>
      </w:divBdr>
    </w:div>
    <w:div w:id="1713916825">
      <w:bodyDiv w:val="1"/>
      <w:marLeft w:val="0"/>
      <w:marRight w:val="0"/>
      <w:marTop w:val="0"/>
      <w:marBottom w:val="0"/>
      <w:divBdr>
        <w:top w:val="none" w:sz="0" w:space="0" w:color="auto"/>
        <w:left w:val="none" w:sz="0" w:space="0" w:color="auto"/>
        <w:bottom w:val="none" w:sz="0" w:space="0" w:color="auto"/>
        <w:right w:val="none" w:sz="0" w:space="0" w:color="auto"/>
      </w:divBdr>
    </w:div>
    <w:div w:id="1719628314">
      <w:bodyDiv w:val="1"/>
      <w:marLeft w:val="0"/>
      <w:marRight w:val="0"/>
      <w:marTop w:val="0"/>
      <w:marBottom w:val="0"/>
      <w:divBdr>
        <w:top w:val="none" w:sz="0" w:space="0" w:color="auto"/>
        <w:left w:val="none" w:sz="0" w:space="0" w:color="auto"/>
        <w:bottom w:val="none" w:sz="0" w:space="0" w:color="auto"/>
        <w:right w:val="none" w:sz="0" w:space="0" w:color="auto"/>
      </w:divBdr>
    </w:div>
    <w:div w:id="1724400496">
      <w:bodyDiv w:val="1"/>
      <w:marLeft w:val="0"/>
      <w:marRight w:val="0"/>
      <w:marTop w:val="0"/>
      <w:marBottom w:val="0"/>
      <w:divBdr>
        <w:top w:val="none" w:sz="0" w:space="0" w:color="auto"/>
        <w:left w:val="none" w:sz="0" w:space="0" w:color="auto"/>
        <w:bottom w:val="none" w:sz="0" w:space="0" w:color="auto"/>
        <w:right w:val="none" w:sz="0" w:space="0" w:color="auto"/>
      </w:divBdr>
    </w:div>
    <w:div w:id="1727991638">
      <w:bodyDiv w:val="1"/>
      <w:marLeft w:val="0"/>
      <w:marRight w:val="0"/>
      <w:marTop w:val="0"/>
      <w:marBottom w:val="0"/>
      <w:divBdr>
        <w:top w:val="none" w:sz="0" w:space="0" w:color="auto"/>
        <w:left w:val="none" w:sz="0" w:space="0" w:color="auto"/>
        <w:bottom w:val="none" w:sz="0" w:space="0" w:color="auto"/>
        <w:right w:val="none" w:sz="0" w:space="0" w:color="auto"/>
      </w:divBdr>
    </w:div>
    <w:div w:id="1731688858">
      <w:bodyDiv w:val="1"/>
      <w:marLeft w:val="0"/>
      <w:marRight w:val="0"/>
      <w:marTop w:val="0"/>
      <w:marBottom w:val="0"/>
      <w:divBdr>
        <w:top w:val="none" w:sz="0" w:space="0" w:color="auto"/>
        <w:left w:val="none" w:sz="0" w:space="0" w:color="auto"/>
        <w:bottom w:val="none" w:sz="0" w:space="0" w:color="auto"/>
        <w:right w:val="none" w:sz="0" w:space="0" w:color="auto"/>
      </w:divBdr>
    </w:div>
    <w:div w:id="1732926317">
      <w:bodyDiv w:val="1"/>
      <w:marLeft w:val="0"/>
      <w:marRight w:val="0"/>
      <w:marTop w:val="0"/>
      <w:marBottom w:val="0"/>
      <w:divBdr>
        <w:top w:val="none" w:sz="0" w:space="0" w:color="auto"/>
        <w:left w:val="none" w:sz="0" w:space="0" w:color="auto"/>
        <w:bottom w:val="none" w:sz="0" w:space="0" w:color="auto"/>
        <w:right w:val="none" w:sz="0" w:space="0" w:color="auto"/>
      </w:divBdr>
    </w:div>
    <w:div w:id="1733847645">
      <w:bodyDiv w:val="1"/>
      <w:marLeft w:val="0"/>
      <w:marRight w:val="0"/>
      <w:marTop w:val="0"/>
      <w:marBottom w:val="0"/>
      <w:divBdr>
        <w:top w:val="none" w:sz="0" w:space="0" w:color="auto"/>
        <w:left w:val="none" w:sz="0" w:space="0" w:color="auto"/>
        <w:bottom w:val="none" w:sz="0" w:space="0" w:color="auto"/>
        <w:right w:val="none" w:sz="0" w:space="0" w:color="auto"/>
      </w:divBdr>
    </w:div>
    <w:div w:id="1734353048">
      <w:bodyDiv w:val="1"/>
      <w:marLeft w:val="0"/>
      <w:marRight w:val="0"/>
      <w:marTop w:val="0"/>
      <w:marBottom w:val="0"/>
      <w:divBdr>
        <w:top w:val="none" w:sz="0" w:space="0" w:color="auto"/>
        <w:left w:val="none" w:sz="0" w:space="0" w:color="auto"/>
        <w:bottom w:val="none" w:sz="0" w:space="0" w:color="auto"/>
        <w:right w:val="none" w:sz="0" w:space="0" w:color="auto"/>
      </w:divBdr>
    </w:div>
    <w:div w:id="1736852234">
      <w:bodyDiv w:val="1"/>
      <w:marLeft w:val="0"/>
      <w:marRight w:val="0"/>
      <w:marTop w:val="0"/>
      <w:marBottom w:val="0"/>
      <w:divBdr>
        <w:top w:val="none" w:sz="0" w:space="0" w:color="auto"/>
        <w:left w:val="none" w:sz="0" w:space="0" w:color="auto"/>
        <w:bottom w:val="none" w:sz="0" w:space="0" w:color="auto"/>
        <w:right w:val="none" w:sz="0" w:space="0" w:color="auto"/>
      </w:divBdr>
    </w:div>
    <w:div w:id="1737321215">
      <w:bodyDiv w:val="1"/>
      <w:marLeft w:val="0"/>
      <w:marRight w:val="0"/>
      <w:marTop w:val="0"/>
      <w:marBottom w:val="0"/>
      <w:divBdr>
        <w:top w:val="none" w:sz="0" w:space="0" w:color="auto"/>
        <w:left w:val="none" w:sz="0" w:space="0" w:color="auto"/>
        <w:bottom w:val="none" w:sz="0" w:space="0" w:color="auto"/>
        <w:right w:val="none" w:sz="0" w:space="0" w:color="auto"/>
      </w:divBdr>
    </w:div>
    <w:div w:id="1742019084">
      <w:bodyDiv w:val="1"/>
      <w:marLeft w:val="0"/>
      <w:marRight w:val="0"/>
      <w:marTop w:val="0"/>
      <w:marBottom w:val="0"/>
      <w:divBdr>
        <w:top w:val="none" w:sz="0" w:space="0" w:color="auto"/>
        <w:left w:val="none" w:sz="0" w:space="0" w:color="auto"/>
        <w:bottom w:val="none" w:sz="0" w:space="0" w:color="auto"/>
        <w:right w:val="none" w:sz="0" w:space="0" w:color="auto"/>
      </w:divBdr>
    </w:div>
    <w:div w:id="1748265232">
      <w:bodyDiv w:val="1"/>
      <w:marLeft w:val="0"/>
      <w:marRight w:val="0"/>
      <w:marTop w:val="0"/>
      <w:marBottom w:val="0"/>
      <w:divBdr>
        <w:top w:val="none" w:sz="0" w:space="0" w:color="auto"/>
        <w:left w:val="none" w:sz="0" w:space="0" w:color="auto"/>
        <w:bottom w:val="none" w:sz="0" w:space="0" w:color="auto"/>
        <w:right w:val="none" w:sz="0" w:space="0" w:color="auto"/>
      </w:divBdr>
    </w:div>
    <w:div w:id="1748578300">
      <w:bodyDiv w:val="1"/>
      <w:marLeft w:val="0"/>
      <w:marRight w:val="0"/>
      <w:marTop w:val="0"/>
      <w:marBottom w:val="0"/>
      <w:divBdr>
        <w:top w:val="none" w:sz="0" w:space="0" w:color="auto"/>
        <w:left w:val="none" w:sz="0" w:space="0" w:color="auto"/>
        <w:bottom w:val="none" w:sz="0" w:space="0" w:color="auto"/>
        <w:right w:val="none" w:sz="0" w:space="0" w:color="auto"/>
      </w:divBdr>
    </w:div>
    <w:div w:id="1761827783">
      <w:bodyDiv w:val="1"/>
      <w:marLeft w:val="0"/>
      <w:marRight w:val="0"/>
      <w:marTop w:val="0"/>
      <w:marBottom w:val="0"/>
      <w:divBdr>
        <w:top w:val="none" w:sz="0" w:space="0" w:color="auto"/>
        <w:left w:val="none" w:sz="0" w:space="0" w:color="auto"/>
        <w:bottom w:val="none" w:sz="0" w:space="0" w:color="auto"/>
        <w:right w:val="none" w:sz="0" w:space="0" w:color="auto"/>
      </w:divBdr>
    </w:div>
    <w:div w:id="1762869883">
      <w:bodyDiv w:val="1"/>
      <w:marLeft w:val="0"/>
      <w:marRight w:val="0"/>
      <w:marTop w:val="0"/>
      <w:marBottom w:val="0"/>
      <w:divBdr>
        <w:top w:val="none" w:sz="0" w:space="0" w:color="auto"/>
        <w:left w:val="none" w:sz="0" w:space="0" w:color="auto"/>
        <w:bottom w:val="none" w:sz="0" w:space="0" w:color="auto"/>
        <w:right w:val="none" w:sz="0" w:space="0" w:color="auto"/>
      </w:divBdr>
    </w:div>
    <w:div w:id="1764103439">
      <w:bodyDiv w:val="1"/>
      <w:marLeft w:val="0"/>
      <w:marRight w:val="0"/>
      <w:marTop w:val="0"/>
      <w:marBottom w:val="0"/>
      <w:divBdr>
        <w:top w:val="none" w:sz="0" w:space="0" w:color="auto"/>
        <w:left w:val="none" w:sz="0" w:space="0" w:color="auto"/>
        <w:bottom w:val="none" w:sz="0" w:space="0" w:color="auto"/>
        <w:right w:val="none" w:sz="0" w:space="0" w:color="auto"/>
      </w:divBdr>
    </w:div>
    <w:div w:id="1766922185">
      <w:bodyDiv w:val="1"/>
      <w:marLeft w:val="0"/>
      <w:marRight w:val="0"/>
      <w:marTop w:val="0"/>
      <w:marBottom w:val="0"/>
      <w:divBdr>
        <w:top w:val="none" w:sz="0" w:space="0" w:color="auto"/>
        <w:left w:val="none" w:sz="0" w:space="0" w:color="auto"/>
        <w:bottom w:val="none" w:sz="0" w:space="0" w:color="auto"/>
        <w:right w:val="none" w:sz="0" w:space="0" w:color="auto"/>
      </w:divBdr>
    </w:div>
    <w:div w:id="1767340556">
      <w:bodyDiv w:val="1"/>
      <w:marLeft w:val="0"/>
      <w:marRight w:val="0"/>
      <w:marTop w:val="0"/>
      <w:marBottom w:val="0"/>
      <w:divBdr>
        <w:top w:val="none" w:sz="0" w:space="0" w:color="auto"/>
        <w:left w:val="none" w:sz="0" w:space="0" w:color="auto"/>
        <w:bottom w:val="none" w:sz="0" w:space="0" w:color="auto"/>
        <w:right w:val="none" w:sz="0" w:space="0" w:color="auto"/>
      </w:divBdr>
    </w:div>
    <w:div w:id="1769080050">
      <w:bodyDiv w:val="1"/>
      <w:marLeft w:val="0"/>
      <w:marRight w:val="0"/>
      <w:marTop w:val="0"/>
      <w:marBottom w:val="0"/>
      <w:divBdr>
        <w:top w:val="none" w:sz="0" w:space="0" w:color="auto"/>
        <w:left w:val="none" w:sz="0" w:space="0" w:color="auto"/>
        <w:bottom w:val="none" w:sz="0" w:space="0" w:color="auto"/>
        <w:right w:val="none" w:sz="0" w:space="0" w:color="auto"/>
      </w:divBdr>
    </w:div>
    <w:div w:id="1773626806">
      <w:bodyDiv w:val="1"/>
      <w:marLeft w:val="0"/>
      <w:marRight w:val="0"/>
      <w:marTop w:val="0"/>
      <w:marBottom w:val="0"/>
      <w:divBdr>
        <w:top w:val="none" w:sz="0" w:space="0" w:color="auto"/>
        <w:left w:val="none" w:sz="0" w:space="0" w:color="auto"/>
        <w:bottom w:val="none" w:sz="0" w:space="0" w:color="auto"/>
        <w:right w:val="none" w:sz="0" w:space="0" w:color="auto"/>
      </w:divBdr>
    </w:div>
    <w:div w:id="1775858053">
      <w:bodyDiv w:val="1"/>
      <w:marLeft w:val="0"/>
      <w:marRight w:val="0"/>
      <w:marTop w:val="0"/>
      <w:marBottom w:val="0"/>
      <w:divBdr>
        <w:top w:val="none" w:sz="0" w:space="0" w:color="auto"/>
        <w:left w:val="none" w:sz="0" w:space="0" w:color="auto"/>
        <w:bottom w:val="none" w:sz="0" w:space="0" w:color="auto"/>
        <w:right w:val="none" w:sz="0" w:space="0" w:color="auto"/>
      </w:divBdr>
    </w:div>
    <w:div w:id="1780179792">
      <w:bodyDiv w:val="1"/>
      <w:marLeft w:val="0"/>
      <w:marRight w:val="0"/>
      <w:marTop w:val="0"/>
      <w:marBottom w:val="0"/>
      <w:divBdr>
        <w:top w:val="none" w:sz="0" w:space="0" w:color="auto"/>
        <w:left w:val="none" w:sz="0" w:space="0" w:color="auto"/>
        <w:bottom w:val="none" w:sz="0" w:space="0" w:color="auto"/>
        <w:right w:val="none" w:sz="0" w:space="0" w:color="auto"/>
      </w:divBdr>
    </w:div>
    <w:div w:id="1781560915">
      <w:bodyDiv w:val="1"/>
      <w:marLeft w:val="0"/>
      <w:marRight w:val="0"/>
      <w:marTop w:val="0"/>
      <w:marBottom w:val="0"/>
      <w:divBdr>
        <w:top w:val="none" w:sz="0" w:space="0" w:color="auto"/>
        <w:left w:val="none" w:sz="0" w:space="0" w:color="auto"/>
        <w:bottom w:val="none" w:sz="0" w:space="0" w:color="auto"/>
        <w:right w:val="none" w:sz="0" w:space="0" w:color="auto"/>
      </w:divBdr>
    </w:div>
    <w:div w:id="1785610634">
      <w:bodyDiv w:val="1"/>
      <w:marLeft w:val="0"/>
      <w:marRight w:val="0"/>
      <w:marTop w:val="0"/>
      <w:marBottom w:val="0"/>
      <w:divBdr>
        <w:top w:val="none" w:sz="0" w:space="0" w:color="auto"/>
        <w:left w:val="none" w:sz="0" w:space="0" w:color="auto"/>
        <w:bottom w:val="none" w:sz="0" w:space="0" w:color="auto"/>
        <w:right w:val="none" w:sz="0" w:space="0" w:color="auto"/>
      </w:divBdr>
    </w:div>
    <w:div w:id="1785612648">
      <w:bodyDiv w:val="1"/>
      <w:marLeft w:val="0"/>
      <w:marRight w:val="0"/>
      <w:marTop w:val="0"/>
      <w:marBottom w:val="0"/>
      <w:divBdr>
        <w:top w:val="none" w:sz="0" w:space="0" w:color="auto"/>
        <w:left w:val="none" w:sz="0" w:space="0" w:color="auto"/>
        <w:bottom w:val="none" w:sz="0" w:space="0" w:color="auto"/>
        <w:right w:val="none" w:sz="0" w:space="0" w:color="auto"/>
      </w:divBdr>
    </w:div>
    <w:div w:id="1789276033">
      <w:bodyDiv w:val="1"/>
      <w:marLeft w:val="0"/>
      <w:marRight w:val="0"/>
      <w:marTop w:val="0"/>
      <w:marBottom w:val="0"/>
      <w:divBdr>
        <w:top w:val="none" w:sz="0" w:space="0" w:color="auto"/>
        <w:left w:val="none" w:sz="0" w:space="0" w:color="auto"/>
        <w:bottom w:val="none" w:sz="0" w:space="0" w:color="auto"/>
        <w:right w:val="none" w:sz="0" w:space="0" w:color="auto"/>
      </w:divBdr>
    </w:div>
    <w:div w:id="1796439341">
      <w:bodyDiv w:val="1"/>
      <w:marLeft w:val="0"/>
      <w:marRight w:val="0"/>
      <w:marTop w:val="0"/>
      <w:marBottom w:val="0"/>
      <w:divBdr>
        <w:top w:val="none" w:sz="0" w:space="0" w:color="auto"/>
        <w:left w:val="none" w:sz="0" w:space="0" w:color="auto"/>
        <w:bottom w:val="none" w:sz="0" w:space="0" w:color="auto"/>
        <w:right w:val="none" w:sz="0" w:space="0" w:color="auto"/>
      </w:divBdr>
    </w:div>
    <w:div w:id="1801267639">
      <w:bodyDiv w:val="1"/>
      <w:marLeft w:val="0"/>
      <w:marRight w:val="0"/>
      <w:marTop w:val="0"/>
      <w:marBottom w:val="0"/>
      <w:divBdr>
        <w:top w:val="none" w:sz="0" w:space="0" w:color="auto"/>
        <w:left w:val="none" w:sz="0" w:space="0" w:color="auto"/>
        <w:bottom w:val="none" w:sz="0" w:space="0" w:color="auto"/>
        <w:right w:val="none" w:sz="0" w:space="0" w:color="auto"/>
      </w:divBdr>
    </w:div>
    <w:div w:id="1801457829">
      <w:bodyDiv w:val="1"/>
      <w:marLeft w:val="0"/>
      <w:marRight w:val="0"/>
      <w:marTop w:val="0"/>
      <w:marBottom w:val="0"/>
      <w:divBdr>
        <w:top w:val="none" w:sz="0" w:space="0" w:color="auto"/>
        <w:left w:val="none" w:sz="0" w:space="0" w:color="auto"/>
        <w:bottom w:val="none" w:sz="0" w:space="0" w:color="auto"/>
        <w:right w:val="none" w:sz="0" w:space="0" w:color="auto"/>
      </w:divBdr>
    </w:div>
    <w:div w:id="1809281470">
      <w:bodyDiv w:val="1"/>
      <w:marLeft w:val="0"/>
      <w:marRight w:val="0"/>
      <w:marTop w:val="0"/>
      <w:marBottom w:val="0"/>
      <w:divBdr>
        <w:top w:val="none" w:sz="0" w:space="0" w:color="auto"/>
        <w:left w:val="none" w:sz="0" w:space="0" w:color="auto"/>
        <w:bottom w:val="none" w:sz="0" w:space="0" w:color="auto"/>
        <w:right w:val="none" w:sz="0" w:space="0" w:color="auto"/>
      </w:divBdr>
    </w:div>
    <w:div w:id="1816097369">
      <w:bodyDiv w:val="1"/>
      <w:marLeft w:val="0"/>
      <w:marRight w:val="0"/>
      <w:marTop w:val="0"/>
      <w:marBottom w:val="0"/>
      <w:divBdr>
        <w:top w:val="none" w:sz="0" w:space="0" w:color="auto"/>
        <w:left w:val="none" w:sz="0" w:space="0" w:color="auto"/>
        <w:bottom w:val="none" w:sz="0" w:space="0" w:color="auto"/>
        <w:right w:val="none" w:sz="0" w:space="0" w:color="auto"/>
      </w:divBdr>
    </w:div>
    <w:div w:id="1817183576">
      <w:bodyDiv w:val="1"/>
      <w:marLeft w:val="0"/>
      <w:marRight w:val="0"/>
      <w:marTop w:val="0"/>
      <w:marBottom w:val="0"/>
      <w:divBdr>
        <w:top w:val="none" w:sz="0" w:space="0" w:color="auto"/>
        <w:left w:val="none" w:sz="0" w:space="0" w:color="auto"/>
        <w:bottom w:val="none" w:sz="0" w:space="0" w:color="auto"/>
        <w:right w:val="none" w:sz="0" w:space="0" w:color="auto"/>
      </w:divBdr>
    </w:div>
    <w:div w:id="1820800637">
      <w:bodyDiv w:val="1"/>
      <w:marLeft w:val="0"/>
      <w:marRight w:val="0"/>
      <w:marTop w:val="0"/>
      <w:marBottom w:val="0"/>
      <w:divBdr>
        <w:top w:val="none" w:sz="0" w:space="0" w:color="auto"/>
        <w:left w:val="none" w:sz="0" w:space="0" w:color="auto"/>
        <w:bottom w:val="none" w:sz="0" w:space="0" w:color="auto"/>
        <w:right w:val="none" w:sz="0" w:space="0" w:color="auto"/>
      </w:divBdr>
    </w:div>
    <w:div w:id="1821144806">
      <w:bodyDiv w:val="1"/>
      <w:marLeft w:val="0"/>
      <w:marRight w:val="0"/>
      <w:marTop w:val="0"/>
      <w:marBottom w:val="0"/>
      <w:divBdr>
        <w:top w:val="none" w:sz="0" w:space="0" w:color="auto"/>
        <w:left w:val="none" w:sz="0" w:space="0" w:color="auto"/>
        <w:bottom w:val="none" w:sz="0" w:space="0" w:color="auto"/>
        <w:right w:val="none" w:sz="0" w:space="0" w:color="auto"/>
      </w:divBdr>
    </w:div>
    <w:div w:id="1821997813">
      <w:bodyDiv w:val="1"/>
      <w:marLeft w:val="0"/>
      <w:marRight w:val="0"/>
      <w:marTop w:val="0"/>
      <w:marBottom w:val="0"/>
      <w:divBdr>
        <w:top w:val="none" w:sz="0" w:space="0" w:color="auto"/>
        <w:left w:val="none" w:sz="0" w:space="0" w:color="auto"/>
        <w:bottom w:val="none" w:sz="0" w:space="0" w:color="auto"/>
        <w:right w:val="none" w:sz="0" w:space="0" w:color="auto"/>
      </w:divBdr>
    </w:div>
    <w:div w:id="1829134448">
      <w:bodyDiv w:val="1"/>
      <w:marLeft w:val="0"/>
      <w:marRight w:val="0"/>
      <w:marTop w:val="0"/>
      <w:marBottom w:val="0"/>
      <w:divBdr>
        <w:top w:val="none" w:sz="0" w:space="0" w:color="auto"/>
        <w:left w:val="none" w:sz="0" w:space="0" w:color="auto"/>
        <w:bottom w:val="none" w:sz="0" w:space="0" w:color="auto"/>
        <w:right w:val="none" w:sz="0" w:space="0" w:color="auto"/>
      </w:divBdr>
    </w:div>
    <w:div w:id="1832677582">
      <w:bodyDiv w:val="1"/>
      <w:marLeft w:val="0"/>
      <w:marRight w:val="0"/>
      <w:marTop w:val="0"/>
      <w:marBottom w:val="0"/>
      <w:divBdr>
        <w:top w:val="none" w:sz="0" w:space="0" w:color="auto"/>
        <w:left w:val="none" w:sz="0" w:space="0" w:color="auto"/>
        <w:bottom w:val="none" w:sz="0" w:space="0" w:color="auto"/>
        <w:right w:val="none" w:sz="0" w:space="0" w:color="auto"/>
      </w:divBdr>
    </w:div>
    <w:div w:id="1834447834">
      <w:bodyDiv w:val="1"/>
      <w:marLeft w:val="0"/>
      <w:marRight w:val="0"/>
      <w:marTop w:val="0"/>
      <w:marBottom w:val="0"/>
      <w:divBdr>
        <w:top w:val="none" w:sz="0" w:space="0" w:color="auto"/>
        <w:left w:val="none" w:sz="0" w:space="0" w:color="auto"/>
        <w:bottom w:val="none" w:sz="0" w:space="0" w:color="auto"/>
        <w:right w:val="none" w:sz="0" w:space="0" w:color="auto"/>
      </w:divBdr>
    </w:div>
    <w:div w:id="1837187053">
      <w:bodyDiv w:val="1"/>
      <w:marLeft w:val="0"/>
      <w:marRight w:val="0"/>
      <w:marTop w:val="0"/>
      <w:marBottom w:val="0"/>
      <w:divBdr>
        <w:top w:val="none" w:sz="0" w:space="0" w:color="auto"/>
        <w:left w:val="none" w:sz="0" w:space="0" w:color="auto"/>
        <w:bottom w:val="none" w:sz="0" w:space="0" w:color="auto"/>
        <w:right w:val="none" w:sz="0" w:space="0" w:color="auto"/>
      </w:divBdr>
    </w:div>
    <w:div w:id="1841389521">
      <w:bodyDiv w:val="1"/>
      <w:marLeft w:val="0"/>
      <w:marRight w:val="0"/>
      <w:marTop w:val="0"/>
      <w:marBottom w:val="0"/>
      <w:divBdr>
        <w:top w:val="none" w:sz="0" w:space="0" w:color="auto"/>
        <w:left w:val="none" w:sz="0" w:space="0" w:color="auto"/>
        <w:bottom w:val="none" w:sz="0" w:space="0" w:color="auto"/>
        <w:right w:val="none" w:sz="0" w:space="0" w:color="auto"/>
      </w:divBdr>
    </w:div>
    <w:div w:id="1843355005">
      <w:bodyDiv w:val="1"/>
      <w:marLeft w:val="0"/>
      <w:marRight w:val="0"/>
      <w:marTop w:val="0"/>
      <w:marBottom w:val="0"/>
      <w:divBdr>
        <w:top w:val="none" w:sz="0" w:space="0" w:color="auto"/>
        <w:left w:val="none" w:sz="0" w:space="0" w:color="auto"/>
        <w:bottom w:val="none" w:sz="0" w:space="0" w:color="auto"/>
        <w:right w:val="none" w:sz="0" w:space="0" w:color="auto"/>
      </w:divBdr>
    </w:div>
    <w:div w:id="1848596681">
      <w:bodyDiv w:val="1"/>
      <w:marLeft w:val="0"/>
      <w:marRight w:val="0"/>
      <w:marTop w:val="0"/>
      <w:marBottom w:val="0"/>
      <w:divBdr>
        <w:top w:val="none" w:sz="0" w:space="0" w:color="auto"/>
        <w:left w:val="none" w:sz="0" w:space="0" w:color="auto"/>
        <w:bottom w:val="none" w:sz="0" w:space="0" w:color="auto"/>
        <w:right w:val="none" w:sz="0" w:space="0" w:color="auto"/>
      </w:divBdr>
    </w:div>
    <w:div w:id="1852139176">
      <w:bodyDiv w:val="1"/>
      <w:marLeft w:val="0"/>
      <w:marRight w:val="0"/>
      <w:marTop w:val="0"/>
      <w:marBottom w:val="0"/>
      <w:divBdr>
        <w:top w:val="none" w:sz="0" w:space="0" w:color="auto"/>
        <w:left w:val="none" w:sz="0" w:space="0" w:color="auto"/>
        <w:bottom w:val="none" w:sz="0" w:space="0" w:color="auto"/>
        <w:right w:val="none" w:sz="0" w:space="0" w:color="auto"/>
      </w:divBdr>
    </w:div>
    <w:div w:id="1854416522">
      <w:bodyDiv w:val="1"/>
      <w:marLeft w:val="0"/>
      <w:marRight w:val="0"/>
      <w:marTop w:val="0"/>
      <w:marBottom w:val="0"/>
      <w:divBdr>
        <w:top w:val="none" w:sz="0" w:space="0" w:color="auto"/>
        <w:left w:val="none" w:sz="0" w:space="0" w:color="auto"/>
        <w:bottom w:val="none" w:sz="0" w:space="0" w:color="auto"/>
        <w:right w:val="none" w:sz="0" w:space="0" w:color="auto"/>
      </w:divBdr>
    </w:div>
    <w:div w:id="1862931199">
      <w:bodyDiv w:val="1"/>
      <w:marLeft w:val="0"/>
      <w:marRight w:val="0"/>
      <w:marTop w:val="0"/>
      <w:marBottom w:val="0"/>
      <w:divBdr>
        <w:top w:val="none" w:sz="0" w:space="0" w:color="auto"/>
        <w:left w:val="none" w:sz="0" w:space="0" w:color="auto"/>
        <w:bottom w:val="none" w:sz="0" w:space="0" w:color="auto"/>
        <w:right w:val="none" w:sz="0" w:space="0" w:color="auto"/>
      </w:divBdr>
    </w:div>
    <w:div w:id="1869366758">
      <w:bodyDiv w:val="1"/>
      <w:marLeft w:val="0"/>
      <w:marRight w:val="0"/>
      <w:marTop w:val="0"/>
      <w:marBottom w:val="0"/>
      <w:divBdr>
        <w:top w:val="none" w:sz="0" w:space="0" w:color="auto"/>
        <w:left w:val="none" w:sz="0" w:space="0" w:color="auto"/>
        <w:bottom w:val="none" w:sz="0" w:space="0" w:color="auto"/>
        <w:right w:val="none" w:sz="0" w:space="0" w:color="auto"/>
      </w:divBdr>
    </w:div>
    <w:div w:id="1869441931">
      <w:bodyDiv w:val="1"/>
      <w:marLeft w:val="0"/>
      <w:marRight w:val="0"/>
      <w:marTop w:val="0"/>
      <w:marBottom w:val="0"/>
      <w:divBdr>
        <w:top w:val="none" w:sz="0" w:space="0" w:color="auto"/>
        <w:left w:val="none" w:sz="0" w:space="0" w:color="auto"/>
        <w:bottom w:val="none" w:sz="0" w:space="0" w:color="auto"/>
        <w:right w:val="none" w:sz="0" w:space="0" w:color="auto"/>
      </w:divBdr>
    </w:div>
    <w:div w:id="1871062077">
      <w:bodyDiv w:val="1"/>
      <w:marLeft w:val="0"/>
      <w:marRight w:val="0"/>
      <w:marTop w:val="0"/>
      <w:marBottom w:val="0"/>
      <w:divBdr>
        <w:top w:val="none" w:sz="0" w:space="0" w:color="auto"/>
        <w:left w:val="none" w:sz="0" w:space="0" w:color="auto"/>
        <w:bottom w:val="none" w:sz="0" w:space="0" w:color="auto"/>
        <w:right w:val="none" w:sz="0" w:space="0" w:color="auto"/>
      </w:divBdr>
    </w:div>
    <w:div w:id="1872255751">
      <w:bodyDiv w:val="1"/>
      <w:marLeft w:val="0"/>
      <w:marRight w:val="0"/>
      <w:marTop w:val="0"/>
      <w:marBottom w:val="0"/>
      <w:divBdr>
        <w:top w:val="none" w:sz="0" w:space="0" w:color="auto"/>
        <w:left w:val="none" w:sz="0" w:space="0" w:color="auto"/>
        <w:bottom w:val="none" w:sz="0" w:space="0" w:color="auto"/>
        <w:right w:val="none" w:sz="0" w:space="0" w:color="auto"/>
      </w:divBdr>
    </w:div>
    <w:div w:id="1872836045">
      <w:bodyDiv w:val="1"/>
      <w:marLeft w:val="0"/>
      <w:marRight w:val="0"/>
      <w:marTop w:val="0"/>
      <w:marBottom w:val="0"/>
      <w:divBdr>
        <w:top w:val="none" w:sz="0" w:space="0" w:color="auto"/>
        <w:left w:val="none" w:sz="0" w:space="0" w:color="auto"/>
        <w:bottom w:val="none" w:sz="0" w:space="0" w:color="auto"/>
        <w:right w:val="none" w:sz="0" w:space="0" w:color="auto"/>
      </w:divBdr>
    </w:div>
    <w:div w:id="1873884586">
      <w:bodyDiv w:val="1"/>
      <w:marLeft w:val="0"/>
      <w:marRight w:val="0"/>
      <w:marTop w:val="0"/>
      <w:marBottom w:val="0"/>
      <w:divBdr>
        <w:top w:val="none" w:sz="0" w:space="0" w:color="auto"/>
        <w:left w:val="none" w:sz="0" w:space="0" w:color="auto"/>
        <w:bottom w:val="none" w:sz="0" w:space="0" w:color="auto"/>
        <w:right w:val="none" w:sz="0" w:space="0" w:color="auto"/>
      </w:divBdr>
    </w:div>
    <w:div w:id="1875651921">
      <w:bodyDiv w:val="1"/>
      <w:marLeft w:val="0"/>
      <w:marRight w:val="0"/>
      <w:marTop w:val="0"/>
      <w:marBottom w:val="0"/>
      <w:divBdr>
        <w:top w:val="none" w:sz="0" w:space="0" w:color="auto"/>
        <w:left w:val="none" w:sz="0" w:space="0" w:color="auto"/>
        <w:bottom w:val="none" w:sz="0" w:space="0" w:color="auto"/>
        <w:right w:val="none" w:sz="0" w:space="0" w:color="auto"/>
      </w:divBdr>
    </w:div>
    <w:div w:id="1875849515">
      <w:bodyDiv w:val="1"/>
      <w:marLeft w:val="0"/>
      <w:marRight w:val="0"/>
      <w:marTop w:val="0"/>
      <w:marBottom w:val="0"/>
      <w:divBdr>
        <w:top w:val="none" w:sz="0" w:space="0" w:color="auto"/>
        <w:left w:val="none" w:sz="0" w:space="0" w:color="auto"/>
        <w:bottom w:val="none" w:sz="0" w:space="0" w:color="auto"/>
        <w:right w:val="none" w:sz="0" w:space="0" w:color="auto"/>
      </w:divBdr>
    </w:div>
    <w:div w:id="1875849757">
      <w:bodyDiv w:val="1"/>
      <w:marLeft w:val="0"/>
      <w:marRight w:val="0"/>
      <w:marTop w:val="0"/>
      <w:marBottom w:val="0"/>
      <w:divBdr>
        <w:top w:val="none" w:sz="0" w:space="0" w:color="auto"/>
        <w:left w:val="none" w:sz="0" w:space="0" w:color="auto"/>
        <w:bottom w:val="none" w:sz="0" w:space="0" w:color="auto"/>
        <w:right w:val="none" w:sz="0" w:space="0" w:color="auto"/>
      </w:divBdr>
    </w:div>
    <w:div w:id="1879127375">
      <w:bodyDiv w:val="1"/>
      <w:marLeft w:val="0"/>
      <w:marRight w:val="0"/>
      <w:marTop w:val="0"/>
      <w:marBottom w:val="0"/>
      <w:divBdr>
        <w:top w:val="none" w:sz="0" w:space="0" w:color="auto"/>
        <w:left w:val="none" w:sz="0" w:space="0" w:color="auto"/>
        <w:bottom w:val="none" w:sz="0" w:space="0" w:color="auto"/>
        <w:right w:val="none" w:sz="0" w:space="0" w:color="auto"/>
      </w:divBdr>
    </w:div>
    <w:div w:id="1891725048">
      <w:bodyDiv w:val="1"/>
      <w:marLeft w:val="0"/>
      <w:marRight w:val="0"/>
      <w:marTop w:val="0"/>
      <w:marBottom w:val="0"/>
      <w:divBdr>
        <w:top w:val="none" w:sz="0" w:space="0" w:color="auto"/>
        <w:left w:val="none" w:sz="0" w:space="0" w:color="auto"/>
        <w:bottom w:val="none" w:sz="0" w:space="0" w:color="auto"/>
        <w:right w:val="none" w:sz="0" w:space="0" w:color="auto"/>
      </w:divBdr>
    </w:div>
    <w:div w:id="1897231185">
      <w:bodyDiv w:val="1"/>
      <w:marLeft w:val="0"/>
      <w:marRight w:val="0"/>
      <w:marTop w:val="0"/>
      <w:marBottom w:val="0"/>
      <w:divBdr>
        <w:top w:val="none" w:sz="0" w:space="0" w:color="auto"/>
        <w:left w:val="none" w:sz="0" w:space="0" w:color="auto"/>
        <w:bottom w:val="none" w:sz="0" w:space="0" w:color="auto"/>
        <w:right w:val="none" w:sz="0" w:space="0" w:color="auto"/>
      </w:divBdr>
    </w:div>
    <w:div w:id="1900940505">
      <w:bodyDiv w:val="1"/>
      <w:marLeft w:val="0"/>
      <w:marRight w:val="0"/>
      <w:marTop w:val="0"/>
      <w:marBottom w:val="0"/>
      <w:divBdr>
        <w:top w:val="none" w:sz="0" w:space="0" w:color="auto"/>
        <w:left w:val="none" w:sz="0" w:space="0" w:color="auto"/>
        <w:bottom w:val="none" w:sz="0" w:space="0" w:color="auto"/>
        <w:right w:val="none" w:sz="0" w:space="0" w:color="auto"/>
      </w:divBdr>
    </w:div>
    <w:div w:id="1905607437">
      <w:bodyDiv w:val="1"/>
      <w:marLeft w:val="0"/>
      <w:marRight w:val="0"/>
      <w:marTop w:val="0"/>
      <w:marBottom w:val="0"/>
      <w:divBdr>
        <w:top w:val="none" w:sz="0" w:space="0" w:color="auto"/>
        <w:left w:val="none" w:sz="0" w:space="0" w:color="auto"/>
        <w:bottom w:val="none" w:sz="0" w:space="0" w:color="auto"/>
        <w:right w:val="none" w:sz="0" w:space="0" w:color="auto"/>
      </w:divBdr>
    </w:div>
    <w:div w:id="1907839626">
      <w:bodyDiv w:val="1"/>
      <w:marLeft w:val="0"/>
      <w:marRight w:val="0"/>
      <w:marTop w:val="0"/>
      <w:marBottom w:val="0"/>
      <w:divBdr>
        <w:top w:val="none" w:sz="0" w:space="0" w:color="auto"/>
        <w:left w:val="none" w:sz="0" w:space="0" w:color="auto"/>
        <w:bottom w:val="none" w:sz="0" w:space="0" w:color="auto"/>
        <w:right w:val="none" w:sz="0" w:space="0" w:color="auto"/>
      </w:divBdr>
    </w:div>
    <w:div w:id="1909075680">
      <w:bodyDiv w:val="1"/>
      <w:marLeft w:val="0"/>
      <w:marRight w:val="0"/>
      <w:marTop w:val="0"/>
      <w:marBottom w:val="0"/>
      <w:divBdr>
        <w:top w:val="none" w:sz="0" w:space="0" w:color="auto"/>
        <w:left w:val="none" w:sz="0" w:space="0" w:color="auto"/>
        <w:bottom w:val="none" w:sz="0" w:space="0" w:color="auto"/>
        <w:right w:val="none" w:sz="0" w:space="0" w:color="auto"/>
      </w:divBdr>
    </w:div>
    <w:div w:id="1914898444">
      <w:bodyDiv w:val="1"/>
      <w:marLeft w:val="0"/>
      <w:marRight w:val="0"/>
      <w:marTop w:val="0"/>
      <w:marBottom w:val="0"/>
      <w:divBdr>
        <w:top w:val="none" w:sz="0" w:space="0" w:color="auto"/>
        <w:left w:val="none" w:sz="0" w:space="0" w:color="auto"/>
        <w:bottom w:val="none" w:sz="0" w:space="0" w:color="auto"/>
        <w:right w:val="none" w:sz="0" w:space="0" w:color="auto"/>
      </w:divBdr>
    </w:div>
    <w:div w:id="1923830734">
      <w:bodyDiv w:val="1"/>
      <w:marLeft w:val="0"/>
      <w:marRight w:val="0"/>
      <w:marTop w:val="0"/>
      <w:marBottom w:val="0"/>
      <w:divBdr>
        <w:top w:val="none" w:sz="0" w:space="0" w:color="auto"/>
        <w:left w:val="none" w:sz="0" w:space="0" w:color="auto"/>
        <w:bottom w:val="none" w:sz="0" w:space="0" w:color="auto"/>
        <w:right w:val="none" w:sz="0" w:space="0" w:color="auto"/>
      </w:divBdr>
    </w:div>
    <w:div w:id="1923905059">
      <w:bodyDiv w:val="1"/>
      <w:marLeft w:val="0"/>
      <w:marRight w:val="0"/>
      <w:marTop w:val="0"/>
      <w:marBottom w:val="0"/>
      <w:divBdr>
        <w:top w:val="none" w:sz="0" w:space="0" w:color="auto"/>
        <w:left w:val="none" w:sz="0" w:space="0" w:color="auto"/>
        <w:bottom w:val="none" w:sz="0" w:space="0" w:color="auto"/>
        <w:right w:val="none" w:sz="0" w:space="0" w:color="auto"/>
      </w:divBdr>
    </w:div>
    <w:div w:id="1924365938">
      <w:bodyDiv w:val="1"/>
      <w:marLeft w:val="0"/>
      <w:marRight w:val="0"/>
      <w:marTop w:val="0"/>
      <w:marBottom w:val="0"/>
      <w:divBdr>
        <w:top w:val="none" w:sz="0" w:space="0" w:color="auto"/>
        <w:left w:val="none" w:sz="0" w:space="0" w:color="auto"/>
        <w:bottom w:val="none" w:sz="0" w:space="0" w:color="auto"/>
        <w:right w:val="none" w:sz="0" w:space="0" w:color="auto"/>
      </w:divBdr>
    </w:div>
    <w:div w:id="1926571150">
      <w:bodyDiv w:val="1"/>
      <w:marLeft w:val="0"/>
      <w:marRight w:val="0"/>
      <w:marTop w:val="0"/>
      <w:marBottom w:val="0"/>
      <w:divBdr>
        <w:top w:val="none" w:sz="0" w:space="0" w:color="auto"/>
        <w:left w:val="none" w:sz="0" w:space="0" w:color="auto"/>
        <w:bottom w:val="none" w:sz="0" w:space="0" w:color="auto"/>
        <w:right w:val="none" w:sz="0" w:space="0" w:color="auto"/>
      </w:divBdr>
    </w:div>
    <w:div w:id="1931698632">
      <w:bodyDiv w:val="1"/>
      <w:marLeft w:val="0"/>
      <w:marRight w:val="0"/>
      <w:marTop w:val="0"/>
      <w:marBottom w:val="0"/>
      <w:divBdr>
        <w:top w:val="none" w:sz="0" w:space="0" w:color="auto"/>
        <w:left w:val="none" w:sz="0" w:space="0" w:color="auto"/>
        <w:bottom w:val="none" w:sz="0" w:space="0" w:color="auto"/>
        <w:right w:val="none" w:sz="0" w:space="0" w:color="auto"/>
      </w:divBdr>
    </w:div>
    <w:div w:id="1933278338">
      <w:bodyDiv w:val="1"/>
      <w:marLeft w:val="0"/>
      <w:marRight w:val="0"/>
      <w:marTop w:val="0"/>
      <w:marBottom w:val="0"/>
      <w:divBdr>
        <w:top w:val="none" w:sz="0" w:space="0" w:color="auto"/>
        <w:left w:val="none" w:sz="0" w:space="0" w:color="auto"/>
        <w:bottom w:val="none" w:sz="0" w:space="0" w:color="auto"/>
        <w:right w:val="none" w:sz="0" w:space="0" w:color="auto"/>
      </w:divBdr>
    </w:div>
    <w:div w:id="1943107763">
      <w:bodyDiv w:val="1"/>
      <w:marLeft w:val="0"/>
      <w:marRight w:val="0"/>
      <w:marTop w:val="0"/>
      <w:marBottom w:val="0"/>
      <w:divBdr>
        <w:top w:val="none" w:sz="0" w:space="0" w:color="auto"/>
        <w:left w:val="none" w:sz="0" w:space="0" w:color="auto"/>
        <w:bottom w:val="none" w:sz="0" w:space="0" w:color="auto"/>
        <w:right w:val="none" w:sz="0" w:space="0" w:color="auto"/>
      </w:divBdr>
    </w:div>
    <w:div w:id="1943143507">
      <w:bodyDiv w:val="1"/>
      <w:marLeft w:val="0"/>
      <w:marRight w:val="0"/>
      <w:marTop w:val="0"/>
      <w:marBottom w:val="0"/>
      <w:divBdr>
        <w:top w:val="none" w:sz="0" w:space="0" w:color="auto"/>
        <w:left w:val="none" w:sz="0" w:space="0" w:color="auto"/>
        <w:bottom w:val="none" w:sz="0" w:space="0" w:color="auto"/>
        <w:right w:val="none" w:sz="0" w:space="0" w:color="auto"/>
      </w:divBdr>
    </w:div>
    <w:div w:id="1943684469">
      <w:bodyDiv w:val="1"/>
      <w:marLeft w:val="0"/>
      <w:marRight w:val="0"/>
      <w:marTop w:val="0"/>
      <w:marBottom w:val="0"/>
      <w:divBdr>
        <w:top w:val="none" w:sz="0" w:space="0" w:color="auto"/>
        <w:left w:val="none" w:sz="0" w:space="0" w:color="auto"/>
        <w:bottom w:val="none" w:sz="0" w:space="0" w:color="auto"/>
        <w:right w:val="none" w:sz="0" w:space="0" w:color="auto"/>
      </w:divBdr>
    </w:div>
    <w:div w:id="1945262731">
      <w:bodyDiv w:val="1"/>
      <w:marLeft w:val="0"/>
      <w:marRight w:val="0"/>
      <w:marTop w:val="0"/>
      <w:marBottom w:val="0"/>
      <w:divBdr>
        <w:top w:val="none" w:sz="0" w:space="0" w:color="auto"/>
        <w:left w:val="none" w:sz="0" w:space="0" w:color="auto"/>
        <w:bottom w:val="none" w:sz="0" w:space="0" w:color="auto"/>
        <w:right w:val="none" w:sz="0" w:space="0" w:color="auto"/>
      </w:divBdr>
    </w:div>
    <w:div w:id="1953975669">
      <w:bodyDiv w:val="1"/>
      <w:marLeft w:val="0"/>
      <w:marRight w:val="0"/>
      <w:marTop w:val="0"/>
      <w:marBottom w:val="0"/>
      <w:divBdr>
        <w:top w:val="none" w:sz="0" w:space="0" w:color="auto"/>
        <w:left w:val="none" w:sz="0" w:space="0" w:color="auto"/>
        <w:bottom w:val="none" w:sz="0" w:space="0" w:color="auto"/>
        <w:right w:val="none" w:sz="0" w:space="0" w:color="auto"/>
      </w:divBdr>
    </w:div>
    <w:div w:id="1954894946">
      <w:bodyDiv w:val="1"/>
      <w:marLeft w:val="0"/>
      <w:marRight w:val="0"/>
      <w:marTop w:val="0"/>
      <w:marBottom w:val="0"/>
      <w:divBdr>
        <w:top w:val="none" w:sz="0" w:space="0" w:color="auto"/>
        <w:left w:val="none" w:sz="0" w:space="0" w:color="auto"/>
        <w:bottom w:val="none" w:sz="0" w:space="0" w:color="auto"/>
        <w:right w:val="none" w:sz="0" w:space="0" w:color="auto"/>
      </w:divBdr>
    </w:div>
    <w:div w:id="1956718309">
      <w:bodyDiv w:val="1"/>
      <w:marLeft w:val="0"/>
      <w:marRight w:val="0"/>
      <w:marTop w:val="0"/>
      <w:marBottom w:val="0"/>
      <w:divBdr>
        <w:top w:val="none" w:sz="0" w:space="0" w:color="auto"/>
        <w:left w:val="none" w:sz="0" w:space="0" w:color="auto"/>
        <w:bottom w:val="none" w:sz="0" w:space="0" w:color="auto"/>
        <w:right w:val="none" w:sz="0" w:space="0" w:color="auto"/>
      </w:divBdr>
    </w:div>
    <w:div w:id="1959990692">
      <w:bodyDiv w:val="1"/>
      <w:marLeft w:val="0"/>
      <w:marRight w:val="0"/>
      <w:marTop w:val="0"/>
      <w:marBottom w:val="0"/>
      <w:divBdr>
        <w:top w:val="none" w:sz="0" w:space="0" w:color="auto"/>
        <w:left w:val="none" w:sz="0" w:space="0" w:color="auto"/>
        <w:bottom w:val="none" w:sz="0" w:space="0" w:color="auto"/>
        <w:right w:val="none" w:sz="0" w:space="0" w:color="auto"/>
      </w:divBdr>
    </w:div>
    <w:div w:id="1961760907">
      <w:bodyDiv w:val="1"/>
      <w:marLeft w:val="0"/>
      <w:marRight w:val="0"/>
      <w:marTop w:val="0"/>
      <w:marBottom w:val="0"/>
      <w:divBdr>
        <w:top w:val="none" w:sz="0" w:space="0" w:color="auto"/>
        <w:left w:val="none" w:sz="0" w:space="0" w:color="auto"/>
        <w:bottom w:val="none" w:sz="0" w:space="0" w:color="auto"/>
        <w:right w:val="none" w:sz="0" w:space="0" w:color="auto"/>
      </w:divBdr>
    </w:div>
    <w:div w:id="1963412832">
      <w:bodyDiv w:val="1"/>
      <w:marLeft w:val="0"/>
      <w:marRight w:val="0"/>
      <w:marTop w:val="0"/>
      <w:marBottom w:val="0"/>
      <w:divBdr>
        <w:top w:val="none" w:sz="0" w:space="0" w:color="auto"/>
        <w:left w:val="none" w:sz="0" w:space="0" w:color="auto"/>
        <w:bottom w:val="none" w:sz="0" w:space="0" w:color="auto"/>
        <w:right w:val="none" w:sz="0" w:space="0" w:color="auto"/>
      </w:divBdr>
    </w:div>
    <w:div w:id="1968731901">
      <w:bodyDiv w:val="1"/>
      <w:marLeft w:val="0"/>
      <w:marRight w:val="0"/>
      <w:marTop w:val="0"/>
      <w:marBottom w:val="0"/>
      <w:divBdr>
        <w:top w:val="none" w:sz="0" w:space="0" w:color="auto"/>
        <w:left w:val="none" w:sz="0" w:space="0" w:color="auto"/>
        <w:bottom w:val="none" w:sz="0" w:space="0" w:color="auto"/>
        <w:right w:val="none" w:sz="0" w:space="0" w:color="auto"/>
      </w:divBdr>
    </w:div>
    <w:div w:id="1968970256">
      <w:bodyDiv w:val="1"/>
      <w:marLeft w:val="0"/>
      <w:marRight w:val="0"/>
      <w:marTop w:val="0"/>
      <w:marBottom w:val="0"/>
      <w:divBdr>
        <w:top w:val="none" w:sz="0" w:space="0" w:color="auto"/>
        <w:left w:val="none" w:sz="0" w:space="0" w:color="auto"/>
        <w:bottom w:val="none" w:sz="0" w:space="0" w:color="auto"/>
        <w:right w:val="none" w:sz="0" w:space="0" w:color="auto"/>
      </w:divBdr>
    </w:div>
    <w:div w:id="1970625469">
      <w:bodyDiv w:val="1"/>
      <w:marLeft w:val="0"/>
      <w:marRight w:val="0"/>
      <w:marTop w:val="0"/>
      <w:marBottom w:val="0"/>
      <w:divBdr>
        <w:top w:val="none" w:sz="0" w:space="0" w:color="auto"/>
        <w:left w:val="none" w:sz="0" w:space="0" w:color="auto"/>
        <w:bottom w:val="none" w:sz="0" w:space="0" w:color="auto"/>
        <w:right w:val="none" w:sz="0" w:space="0" w:color="auto"/>
      </w:divBdr>
    </w:div>
    <w:div w:id="1972781916">
      <w:bodyDiv w:val="1"/>
      <w:marLeft w:val="0"/>
      <w:marRight w:val="0"/>
      <w:marTop w:val="0"/>
      <w:marBottom w:val="0"/>
      <w:divBdr>
        <w:top w:val="none" w:sz="0" w:space="0" w:color="auto"/>
        <w:left w:val="none" w:sz="0" w:space="0" w:color="auto"/>
        <w:bottom w:val="none" w:sz="0" w:space="0" w:color="auto"/>
        <w:right w:val="none" w:sz="0" w:space="0" w:color="auto"/>
      </w:divBdr>
    </w:div>
    <w:div w:id="1973318165">
      <w:bodyDiv w:val="1"/>
      <w:marLeft w:val="0"/>
      <w:marRight w:val="0"/>
      <w:marTop w:val="0"/>
      <w:marBottom w:val="0"/>
      <w:divBdr>
        <w:top w:val="none" w:sz="0" w:space="0" w:color="auto"/>
        <w:left w:val="none" w:sz="0" w:space="0" w:color="auto"/>
        <w:bottom w:val="none" w:sz="0" w:space="0" w:color="auto"/>
        <w:right w:val="none" w:sz="0" w:space="0" w:color="auto"/>
      </w:divBdr>
    </w:div>
    <w:div w:id="1975060444">
      <w:bodyDiv w:val="1"/>
      <w:marLeft w:val="0"/>
      <w:marRight w:val="0"/>
      <w:marTop w:val="0"/>
      <w:marBottom w:val="0"/>
      <w:divBdr>
        <w:top w:val="none" w:sz="0" w:space="0" w:color="auto"/>
        <w:left w:val="none" w:sz="0" w:space="0" w:color="auto"/>
        <w:bottom w:val="none" w:sz="0" w:space="0" w:color="auto"/>
        <w:right w:val="none" w:sz="0" w:space="0" w:color="auto"/>
      </w:divBdr>
    </w:div>
    <w:div w:id="1977176652">
      <w:bodyDiv w:val="1"/>
      <w:marLeft w:val="0"/>
      <w:marRight w:val="0"/>
      <w:marTop w:val="0"/>
      <w:marBottom w:val="0"/>
      <w:divBdr>
        <w:top w:val="none" w:sz="0" w:space="0" w:color="auto"/>
        <w:left w:val="none" w:sz="0" w:space="0" w:color="auto"/>
        <w:bottom w:val="none" w:sz="0" w:space="0" w:color="auto"/>
        <w:right w:val="none" w:sz="0" w:space="0" w:color="auto"/>
      </w:divBdr>
    </w:div>
    <w:div w:id="1977566887">
      <w:bodyDiv w:val="1"/>
      <w:marLeft w:val="0"/>
      <w:marRight w:val="0"/>
      <w:marTop w:val="0"/>
      <w:marBottom w:val="0"/>
      <w:divBdr>
        <w:top w:val="none" w:sz="0" w:space="0" w:color="auto"/>
        <w:left w:val="none" w:sz="0" w:space="0" w:color="auto"/>
        <w:bottom w:val="none" w:sz="0" w:space="0" w:color="auto"/>
        <w:right w:val="none" w:sz="0" w:space="0" w:color="auto"/>
      </w:divBdr>
    </w:div>
    <w:div w:id="1980917656">
      <w:bodyDiv w:val="1"/>
      <w:marLeft w:val="0"/>
      <w:marRight w:val="0"/>
      <w:marTop w:val="0"/>
      <w:marBottom w:val="0"/>
      <w:divBdr>
        <w:top w:val="none" w:sz="0" w:space="0" w:color="auto"/>
        <w:left w:val="none" w:sz="0" w:space="0" w:color="auto"/>
        <w:bottom w:val="none" w:sz="0" w:space="0" w:color="auto"/>
        <w:right w:val="none" w:sz="0" w:space="0" w:color="auto"/>
      </w:divBdr>
    </w:div>
    <w:div w:id="1981691121">
      <w:bodyDiv w:val="1"/>
      <w:marLeft w:val="0"/>
      <w:marRight w:val="0"/>
      <w:marTop w:val="0"/>
      <w:marBottom w:val="0"/>
      <w:divBdr>
        <w:top w:val="none" w:sz="0" w:space="0" w:color="auto"/>
        <w:left w:val="none" w:sz="0" w:space="0" w:color="auto"/>
        <w:bottom w:val="none" w:sz="0" w:space="0" w:color="auto"/>
        <w:right w:val="none" w:sz="0" w:space="0" w:color="auto"/>
      </w:divBdr>
    </w:div>
    <w:div w:id="1992826482">
      <w:bodyDiv w:val="1"/>
      <w:marLeft w:val="0"/>
      <w:marRight w:val="0"/>
      <w:marTop w:val="0"/>
      <w:marBottom w:val="0"/>
      <w:divBdr>
        <w:top w:val="none" w:sz="0" w:space="0" w:color="auto"/>
        <w:left w:val="none" w:sz="0" w:space="0" w:color="auto"/>
        <w:bottom w:val="none" w:sz="0" w:space="0" w:color="auto"/>
        <w:right w:val="none" w:sz="0" w:space="0" w:color="auto"/>
      </w:divBdr>
    </w:div>
    <w:div w:id="1995061232">
      <w:bodyDiv w:val="1"/>
      <w:marLeft w:val="0"/>
      <w:marRight w:val="0"/>
      <w:marTop w:val="0"/>
      <w:marBottom w:val="0"/>
      <w:divBdr>
        <w:top w:val="none" w:sz="0" w:space="0" w:color="auto"/>
        <w:left w:val="none" w:sz="0" w:space="0" w:color="auto"/>
        <w:bottom w:val="none" w:sz="0" w:space="0" w:color="auto"/>
        <w:right w:val="none" w:sz="0" w:space="0" w:color="auto"/>
      </w:divBdr>
    </w:div>
    <w:div w:id="1997881937">
      <w:bodyDiv w:val="1"/>
      <w:marLeft w:val="0"/>
      <w:marRight w:val="0"/>
      <w:marTop w:val="0"/>
      <w:marBottom w:val="0"/>
      <w:divBdr>
        <w:top w:val="none" w:sz="0" w:space="0" w:color="auto"/>
        <w:left w:val="none" w:sz="0" w:space="0" w:color="auto"/>
        <w:bottom w:val="none" w:sz="0" w:space="0" w:color="auto"/>
        <w:right w:val="none" w:sz="0" w:space="0" w:color="auto"/>
      </w:divBdr>
    </w:div>
    <w:div w:id="2001618896">
      <w:bodyDiv w:val="1"/>
      <w:marLeft w:val="0"/>
      <w:marRight w:val="0"/>
      <w:marTop w:val="0"/>
      <w:marBottom w:val="0"/>
      <w:divBdr>
        <w:top w:val="none" w:sz="0" w:space="0" w:color="auto"/>
        <w:left w:val="none" w:sz="0" w:space="0" w:color="auto"/>
        <w:bottom w:val="none" w:sz="0" w:space="0" w:color="auto"/>
        <w:right w:val="none" w:sz="0" w:space="0" w:color="auto"/>
      </w:divBdr>
    </w:div>
    <w:div w:id="2004697751">
      <w:bodyDiv w:val="1"/>
      <w:marLeft w:val="0"/>
      <w:marRight w:val="0"/>
      <w:marTop w:val="0"/>
      <w:marBottom w:val="0"/>
      <w:divBdr>
        <w:top w:val="none" w:sz="0" w:space="0" w:color="auto"/>
        <w:left w:val="none" w:sz="0" w:space="0" w:color="auto"/>
        <w:bottom w:val="none" w:sz="0" w:space="0" w:color="auto"/>
        <w:right w:val="none" w:sz="0" w:space="0" w:color="auto"/>
      </w:divBdr>
    </w:div>
    <w:div w:id="2004814894">
      <w:bodyDiv w:val="1"/>
      <w:marLeft w:val="0"/>
      <w:marRight w:val="0"/>
      <w:marTop w:val="0"/>
      <w:marBottom w:val="0"/>
      <w:divBdr>
        <w:top w:val="none" w:sz="0" w:space="0" w:color="auto"/>
        <w:left w:val="none" w:sz="0" w:space="0" w:color="auto"/>
        <w:bottom w:val="none" w:sz="0" w:space="0" w:color="auto"/>
        <w:right w:val="none" w:sz="0" w:space="0" w:color="auto"/>
      </w:divBdr>
    </w:div>
    <w:div w:id="2005359422">
      <w:bodyDiv w:val="1"/>
      <w:marLeft w:val="0"/>
      <w:marRight w:val="0"/>
      <w:marTop w:val="0"/>
      <w:marBottom w:val="0"/>
      <w:divBdr>
        <w:top w:val="none" w:sz="0" w:space="0" w:color="auto"/>
        <w:left w:val="none" w:sz="0" w:space="0" w:color="auto"/>
        <w:bottom w:val="none" w:sz="0" w:space="0" w:color="auto"/>
        <w:right w:val="none" w:sz="0" w:space="0" w:color="auto"/>
      </w:divBdr>
    </w:div>
    <w:div w:id="2006126566">
      <w:bodyDiv w:val="1"/>
      <w:marLeft w:val="0"/>
      <w:marRight w:val="0"/>
      <w:marTop w:val="0"/>
      <w:marBottom w:val="0"/>
      <w:divBdr>
        <w:top w:val="none" w:sz="0" w:space="0" w:color="auto"/>
        <w:left w:val="none" w:sz="0" w:space="0" w:color="auto"/>
        <w:bottom w:val="none" w:sz="0" w:space="0" w:color="auto"/>
        <w:right w:val="none" w:sz="0" w:space="0" w:color="auto"/>
      </w:divBdr>
    </w:div>
    <w:div w:id="2008628145">
      <w:bodyDiv w:val="1"/>
      <w:marLeft w:val="0"/>
      <w:marRight w:val="0"/>
      <w:marTop w:val="0"/>
      <w:marBottom w:val="0"/>
      <w:divBdr>
        <w:top w:val="none" w:sz="0" w:space="0" w:color="auto"/>
        <w:left w:val="none" w:sz="0" w:space="0" w:color="auto"/>
        <w:bottom w:val="none" w:sz="0" w:space="0" w:color="auto"/>
        <w:right w:val="none" w:sz="0" w:space="0" w:color="auto"/>
      </w:divBdr>
    </w:div>
    <w:div w:id="2016346892">
      <w:bodyDiv w:val="1"/>
      <w:marLeft w:val="0"/>
      <w:marRight w:val="0"/>
      <w:marTop w:val="0"/>
      <w:marBottom w:val="0"/>
      <w:divBdr>
        <w:top w:val="none" w:sz="0" w:space="0" w:color="auto"/>
        <w:left w:val="none" w:sz="0" w:space="0" w:color="auto"/>
        <w:bottom w:val="none" w:sz="0" w:space="0" w:color="auto"/>
        <w:right w:val="none" w:sz="0" w:space="0" w:color="auto"/>
      </w:divBdr>
    </w:div>
    <w:div w:id="2022122300">
      <w:bodyDiv w:val="1"/>
      <w:marLeft w:val="0"/>
      <w:marRight w:val="0"/>
      <w:marTop w:val="0"/>
      <w:marBottom w:val="0"/>
      <w:divBdr>
        <w:top w:val="none" w:sz="0" w:space="0" w:color="auto"/>
        <w:left w:val="none" w:sz="0" w:space="0" w:color="auto"/>
        <w:bottom w:val="none" w:sz="0" w:space="0" w:color="auto"/>
        <w:right w:val="none" w:sz="0" w:space="0" w:color="auto"/>
      </w:divBdr>
    </w:div>
    <w:div w:id="2023315135">
      <w:bodyDiv w:val="1"/>
      <w:marLeft w:val="0"/>
      <w:marRight w:val="0"/>
      <w:marTop w:val="0"/>
      <w:marBottom w:val="0"/>
      <w:divBdr>
        <w:top w:val="none" w:sz="0" w:space="0" w:color="auto"/>
        <w:left w:val="none" w:sz="0" w:space="0" w:color="auto"/>
        <w:bottom w:val="none" w:sz="0" w:space="0" w:color="auto"/>
        <w:right w:val="none" w:sz="0" w:space="0" w:color="auto"/>
      </w:divBdr>
    </w:div>
    <w:div w:id="2026513319">
      <w:bodyDiv w:val="1"/>
      <w:marLeft w:val="0"/>
      <w:marRight w:val="0"/>
      <w:marTop w:val="0"/>
      <w:marBottom w:val="0"/>
      <w:divBdr>
        <w:top w:val="none" w:sz="0" w:space="0" w:color="auto"/>
        <w:left w:val="none" w:sz="0" w:space="0" w:color="auto"/>
        <w:bottom w:val="none" w:sz="0" w:space="0" w:color="auto"/>
        <w:right w:val="none" w:sz="0" w:space="0" w:color="auto"/>
      </w:divBdr>
    </w:div>
    <w:div w:id="2032410747">
      <w:bodyDiv w:val="1"/>
      <w:marLeft w:val="0"/>
      <w:marRight w:val="0"/>
      <w:marTop w:val="0"/>
      <w:marBottom w:val="0"/>
      <w:divBdr>
        <w:top w:val="none" w:sz="0" w:space="0" w:color="auto"/>
        <w:left w:val="none" w:sz="0" w:space="0" w:color="auto"/>
        <w:bottom w:val="none" w:sz="0" w:space="0" w:color="auto"/>
        <w:right w:val="none" w:sz="0" w:space="0" w:color="auto"/>
      </w:divBdr>
    </w:div>
    <w:div w:id="2032605274">
      <w:bodyDiv w:val="1"/>
      <w:marLeft w:val="0"/>
      <w:marRight w:val="0"/>
      <w:marTop w:val="0"/>
      <w:marBottom w:val="0"/>
      <w:divBdr>
        <w:top w:val="none" w:sz="0" w:space="0" w:color="auto"/>
        <w:left w:val="none" w:sz="0" w:space="0" w:color="auto"/>
        <w:bottom w:val="none" w:sz="0" w:space="0" w:color="auto"/>
        <w:right w:val="none" w:sz="0" w:space="0" w:color="auto"/>
      </w:divBdr>
    </w:div>
    <w:div w:id="2035495272">
      <w:bodyDiv w:val="1"/>
      <w:marLeft w:val="0"/>
      <w:marRight w:val="0"/>
      <w:marTop w:val="0"/>
      <w:marBottom w:val="0"/>
      <w:divBdr>
        <w:top w:val="none" w:sz="0" w:space="0" w:color="auto"/>
        <w:left w:val="none" w:sz="0" w:space="0" w:color="auto"/>
        <w:bottom w:val="none" w:sz="0" w:space="0" w:color="auto"/>
        <w:right w:val="none" w:sz="0" w:space="0" w:color="auto"/>
      </w:divBdr>
    </w:div>
    <w:div w:id="2041465773">
      <w:bodyDiv w:val="1"/>
      <w:marLeft w:val="0"/>
      <w:marRight w:val="0"/>
      <w:marTop w:val="0"/>
      <w:marBottom w:val="0"/>
      <w:divBdr>
        <w:top w:val="none" w:sz="0" w:space="0" w:color="auto"/>
        <w:left w:val="none" w:sz="0" w:space="0" w:color="auto"/>
        <w:bottom w:val="none" w:sz="0" w:space="0" w:color="auto"/>
        <w:right w:val="none" w:sz="0" w:space="0" w:color="auto"/>
      </w:divBdr>
    </w:div>
    <w:div w:id="2047873624">
      <w:bodyDiv w:val="1"/>
      <w:marLeft w:val="0"/>
      <w:marRight w:val="0"/>
      <w:marTop w:val="0"/>
      <w:marBottom w:val="0"/>
      <w:divBdr>
        <w:top w:val="none" w:sz="0" w:space="0" w:color="auto"/>
        <w:left w:val="none" w:sz="0" w:space="0" w:color="auto"/>
        <w:bottom w:val="none" w:sz="0" w:space="0" w:color="auto"/>
        <w:right w:val="none" w:sz="0" w:space="0" w:color="auto"/>
      </w:divBdr>
    </w:div>
    <w:div w:id="2051763216">
      <w:bodyDiv w:val="1"/>
      <w:marLeft w:val="0"/>
      <w:marRight w:val="0"/>
      <w:marTop w:val="0"/>
      <w:marBottom w:val="0"/>
      <w:divBdr>
        <w:top w:val="none" w:sz="0" w:space="0" w:color="auto"/>
        <w:left w:val="none" w:sz="0" w:space="0" w:color="auto"/>
        <w:bottom w:val="none" w:sz="0" w:space="0" w:color="auto"/>
        <w:right w:val="none" w:sz="0" w:space="0" w:color="auto"/>
      </w:divBdr>
    </w:div>
    <w:div w:id="2054498596">
      <w:bodyDiv w:val="1"/>
      <w:marLeft w:val="0"/>
      <w:marRight w:val="0"/>
      <w:marTop w:val="0"/>
      <w:marBottom w:val="0"/>
      <w:divBdr>
        <w:top w:val="none" w:sz="0" w:space="0" w:color="auto"/>
        <w:left w:val="none" w:sz="0" w:space="0" w:color="auto"/>
        <w:bottom w:val="none" w:sz="0" w:space="0" w:color="auto"/>
        <w:right w:val="none" w:sz="0" w:space="0" w:color="auto"/>
      </w:divBdr>
    </w:div>
    <w:div w:id="2056738854">
      <w:bodyDiv w:val="1"/>
      <w:marLeft w:val="0"/>
      <w:marRight w:val="0"/>
      <w:marTop w:val="0"/>
      <w:marBottom w:val="0"/>
      <w:divBdr>
        <w:top w:val="none" w:sz="0" w:space="0" w:color="auto"/>
        <w:left w:val="none" w:sz="0" w:space="0" w:color="auto"/>
        <w:bottom w:val="none" w:sz="0" w:space="0" w:color="auto"/>
        <w:right w:val="none" w:sz="0" w:space="0" w:color="auto"/>
      </w:divBdr>
    </w:div>
    <w:div w:id="2058427822">
      <w:bodyDiv w:val="1"/>
      <w:marLeft w:val="0"/>
      <w:marRight w:val="0"/>
      <w:marTop w:val="0"/>
      <w:marBottom w:val="0"/>
      <w:divBdr>
        <w:top w:val="none" w:sz="0" w:space="0" w:color="auto"/>
        <w:left w:val="none" w:sz="0" w:space="0" w:color="auto"/>
        <w:bottom w:val="none" w:sz="0" w:space="0" w:color="auto"/>
        <w:right w:val="none" w:sz="0" w:space="0" w:color="auto"/>
      </w:divBdr>
    </w:div>
    <w:div w:id="2060782846">
      <w:bodyDiv w:val="1"/>
      <w:marLeft w:val="0"/>
      <w:marRight w:val="0"/>
      <w:marTop w:val="0"/>
      <w:marBottom w:val="0"/>
      <w:divBdr>
        <w:top w:val="none" w:sz="0" w:space="0" w:color="auto"/>
        <w:left w:val="none" w:sz="0" w:space="0" w:color="auto"/>
        <w:bottom w:val="none" w:sz="0" w:space="0" w:color="auto"/>
        <w:right w:val="none" w:sz="0" w:space="0" w:color="auto"/>
      </w:divBdr>
    </w:div>
    <w:div w:id="2065175900">
      <w:bodyDiv w:val="1"/>
      <w:marLeft w:val="0"/>
      <w:marRight w:val="0"/>
      <w:marTop w:val="0"/>
      <w:marBottom w:val="0"/>
      <w:divBdr>
        <w:top w:val="none" w:sz="0" w:space="0" w:color="auto"/>
        <w:left w:val="none" w:sz="0" w:space="0" w:color="auto"/>
        <w:bottom w:val="none" w:sz="0" w:space="0" w:color="auto"/>
        <w:right w:val="none" w:sz="0" w:space="0" w:color="auto"/>
      </w:divBdr>
    </w:div>
    <w:div w:id="2066180848">
      <w:bodyDiv w:val="1"/>
      <w:marLeft w:val="0"/>
      <w:marRight w:val="0"/>
      <w:marTop w:val="0"/>
      <w:marBottom w:val="0"/>
      <w:divBdr>
        <w:top w:val="none" w:sz="0" w:space="0" w:color="auto"/>
        <w:left w:val="none" w:sz="0" w:space="0" w:color="auto"/>
        <w:bottom w:val="none" w:sz="0" w:space="0" w:color="auto"/>
        <w:right w:val="none" w:sz="0" w:space="0" w:color="auto"/>
      </w:divBdr>
    </w:div>
    <w:div w:id="2066946913">
      <w:bodyDiv w:val="1"/>
      <w:marLeft w:val="0"/>
      <w:marRight w:val="0"/>
      <w:marTop w:val="0"/>
      <w:marBottom w:val="0"/>
      <w:divBdr>
        <w:top w:val="none" w:sz="0" w:space="0" w:color="auto"/>
        <w:left w:val="none" w:sz="0" w:space="0" w:color="auto"/>
        <w:bottom w:val="none" w:sz="0" w:space="0" w:color="auto"/>
        <w:right w:val="none" w:sz="0" w:space="0" w:color="auto"/>
      </w:divBdr>
    </w:div>
    <w:div w:id="2067798080">
      <w:bodyDiv w:val="1"/>
      <w:marLeft w:val="0"/>
      <w:marRight w:val="0"/>
      <w:marTop w:val="0"/>
      <w:marBottom w:val="0"/>
      <w:divBdr>
        <w:top w:val="none" w:sz="0" w:space="0" w:color="auto"/>
        <w:left w:val="none" w:sz="0" w:space="0" w:color="auto"/>
        <w:bottom w:val="none" w:sz="0" w:space="0" w:color="auto"/>
        <w:right w:val="none" w:sz="0" w:space="0" w:color="auto"/>
      </w:divBdr>
    </w:div>
    <w:div w:id="2068071663">
      <w:bodyDiv w:val="1"/>
      <w:marLeft w:val="0"/>
      <w:marRight w:val="0"/>
      <w:marTop w:val="0"/>
      <w:marBottom w:val="0"/>
      <w:divBdr>
        <w:top w:val="none" w:sz="0" w:space="0" w:color="auto"/>
        <w:left w:val="none" w:sz="0" w:space="0" w:color="auto"/>
        <w:bottom w:val="none" w:sz="0" w:space="0" w:color="auto"/>
        <w:right w:val="none" w:sz="0" w:space="0" w:color="auto"/>
      </w:divBdr>
    </w:div>
    <w:div w:id="2069768283">
      <w:bodyDiv w:val="1"/>
      <w:marLeft w:val="0"/>
      <w:marRight w:val="0"/>
      <w:marTop w:val="0"/>
      <w:marBottom w:val="0"/>
      <w:divBdr>
        <w:top w:val="none" w:sz="0" w:space="0" w:color="auto"/>
        <w:left w:val="none" w:sz="0" w:space="0" w:color="auto"/>
        <w:bottom w:val="none" w:sz="0" w:space="0" w:color="auto"/>
        <w:right w:val="none" w:sz="0" w:space="0" w:color="auto"/>
      </w:divBdr>
    </w:div>
    <w:div w:id="2072314011">
      <w:bodyDiv w:val="1"/>
      <w:marLeft w:val="0"/>
      <w:marRight w:val="0"/>
      <w:marTop w:val="0"/>
      <w:marBottom w:val="0"/>
      <w:divBdr>
        <w:top w:val="none" w:sz="0" w:space="0" w:color="auto"/>
        <w:left w:val="none" w:sz="0" w:space="0" w:color="auto"/>
        <w:bottom w:val="none" w:sz="0" w:space="0" w:color="auto"/>
        <w:right w:val="none" w:sz="0" w:space="0" w:color="auto"/>
      </w:divBdr>
    </w:div>
    <w:div w:id="2073036876">
      <w:bodyDiv w:val="1"/>
      <w:marLeft w:val="0"/>
      <w:marRight w:val="0"/>
      <w:marTop w:val="0"/>
      <w:marBottom w:val="0"/>
      <w:divBdr>
        <w:top w:val="none" w:sz="0" w:space="0" w:color="auto"/>
        <w:left w:val="none" w:sz="0" w:space="0" w:color="auto"/>
        <w:bottom w:val="none" w:sz="0" w:space="0" w:color="auto"/>
        <w:right w:val="none" w:sz="0" w:space="0" w:color="auto"/>
      </w:divBdr>
    </w:div>
    <w:div w:id="2076513888">
      <w:bodyDiv w:val="1"/>
      <w:marLeft w:val="0"/>
      <w:marRight w:val="0"/>
      <w:marTop w:val="0"/>
      <w:marBottom w:val="0"/>
      <w:divBdr>
        <w:top w:val="none" w:sz="0" w:space="0" w:color="auto"/>
        <w:left w:val="none" w:sz="0" w:space="0" w:color="auto"/>
        <w:bottom w:val="none" w:sz="0" w:space="0" w:color="auto"/>
        <w:right w:val="none" w:sz="0" w:space="0" w:color="auto"/>
      </w:divBdr>
    </w:div>
    <w:div w:id="2078044741">
      <w:bodyDiv w:val="1"/>
      <w:marLeft w:val="0"/>
      <w:marRight w:val="0"/>
      <w:marTop w:val="0"/>
      <w:marBottom w:val="0"/>
      <w:divBdr>
        <w:top w:val="none" w:sz="0" w:space="0" w:color="auto"/>
        <w:left w:val="none" w:sz="0" w:space="0" w:color="auto"/>
        <w:bottom w:val="none" w:sz="0" w:space="0" w:color="auto"/>
        <w:right w:val="none" w:sz="0" w:space="0" w:color="auto"/>
      </w:divBdr>
    </w:div>
    <w:div w:id="2081058966">
      <w:bodyDiv w:val="1"/>
      <w:marLeft w:val="0"/>
      <w:marRight w:val="0"/>
      <w:marTop w:val="0"/>
      <w:marBottom w:val="0"/>
      <w:divBdr>
        <w:top w:val="none" w:sz="0" w:space="0" w:color="auto"/>
        <w:left w:val="none" w:sz="0" w:space="0" w:color="auto"/>
        <w:bottom w:val="none" w:sz="0" w:space="0" w:color="auto"/>
        <w:right w:val="none" w:sz="0" w:space="0" w:color="auto"/>
      </w:divBdr>
    </w:div>
    <w:div w:id="2082215974">
      <w:bodyDiv w:val="1"/>
      <w:marLeft w:val="0"/>
      <w:marRight w:val="0"/>
      <w:marTop w:val="0"/>
      <w:marBottom w:val="0"/>
      <w:divBdr>
        <w:top w:val="none" w:sz="0" w:space="0" w:color="auto"/>
        <w:left w:val="none" w:sz="0" w:space="0" w:color="auto"/>
        <w:bottom w:val="none" w:sz="0" w:space="0" w:color="auto"/>
        <w:right w:val="none" w:sz="0" w:space="0" w:color="auto"/>
      </w:divBdr>
    </w:div>
    <w:div w:id="2083136657">
      <w:bodyDiv w:val="1"/>
      <w:marLeft w:val="0"/>
      <w:marRight w:val="0"/>
      <w:marTop w:val="0"/>
      <w:marBottom w:val="0"/>
      <w:divBdr>
        <w:top w:val="none" w:sz="0" w:space="0" w:color="auto"/>
        <w:left w:val="none" w:sz="0" w:space="0" w:color="auto"/>
        <w:bottom w:val="none" w:sz="0" w:space="0" w:color="auto"/>
        <w:right w:val="none" w:sz="0" w:space="0" w:color="auto"/>
      </w:divBdr>
    </w:div>
    <w:div w:id="2085686206">
      <w:bodyDiv w:val="1"/>
      <w:marLeft w:val="0"/>
      <w:marRight w:val="0"/>
      <w:marTop w:val="0"/>
      <w:marBottom w:val="0"/>
      <w:divBdr>
        <w:top w:val="none" w:sz="0" w:space="0" w:color="auto"/>
        <w:left w:val="none" w:sz="0" w:space="0" w:color="auto"/>
        <w:bottom w:val="none" w:sz="0" w:space="0" w:color="auto"/>
        <w:right w:val="none" w:sz="0" w:space="0" w:color="auto"/>
      </w:divBdr>
    </w:div>
    <w:div w:id="2089158465">
      <w:bodyDiv w:val="1"/>
      <w:marLeft w:val="0"/>
      <w:marRight w:val="0"/>
      <w:marTop w:val="0"/>
      <w:marBottom w:val="0"/>
      <w:divBdr>
        <w:top w:val="none" w:sz="0" w:space="0" w:color="auto"/>
        <w:left w:val="none" w:sz="0" w:space="0" w:color="auto"/>
        <w:bottom w:val="none" w:sz="0" w:space="0" w:color="auto"/>
        <w:right w:val="none" w:sz="0" w:space="0" w:color="auto"/>
      </w:divBdr>
    </w:div>
    <w:div w:id="2093551750">
      <w:bodyDiv w:val="1"/>
      <w:marLeft w:val="0"/>
      <w:marRight w:val="0"/>
      <w:marTop w:val="0"/>
      <w:marBottom w:val="0"/>
      <w:divBdr>
        <w:top w:val="none" w:sz="0" w:space="0" w:color="auto"/>
        <w:left w:val="none" w:sz="0" w:space="0" w:color="auto"/>
        <w:bottom w:val="none" w:sz="0" w:space="0" w:color="auto"/>
        <w:right w:val="none" w:sz="0" w:space="0" w:color="auto"/>
      </w:divBdr>
    </w:div>
    <w:div w:id="2102019873">
      <w:bodyDiv w:val="1"/>
      <w:marLeft w:val="0"/>
      <w:marRight w:val="0"/>
      <w:marTop w:val="0"/>
      <w:marBottom w:val="0"/>
      <w:divBdr>
        <w:top w:val="none" w:sz="0" w:space="0" w:color="auto"/>
        <w:left w:val="none" w:sz="0" w:space="0" w:color="auto"/>
        <w:bottom w:val="none" w:sz="0" w:space="0" w:color="auto"/>
        <w:right w:val="none" w:sz="0" w:space="0" w:color="auto"/>
      </w:divBdr>
    </w:div>
    <w:div w:id="2114087799">
      <w:bodyDiv w:val="1"/>
      <w:marLeft w:val="0"/>
      <w:marRight w:val="0"/>
      <w:marTop w:val="0"/>
      <w:marBottom w:val="0"/>
      <w:divBdr>
        <w:top w:val="none" w:sz="0" w:space="0" w:color="auto"/>
        <w:left w:val="none" w:sz="0" w:space="0" w:color="auto"/>
        <w:bottom w:val="none" w:sz="0" w:space="0" w:color="auto"/>
        <w:right w:val="none" w:sz="0" w:space="0" w:color="auto"/>
      </w:divBdr>
    </w:div>
    <w:div w:id="2115009968">
      <w:bodyDiv w:val="1"/>
      <w:marLeft w:val="0"/>
      <w:marRight w:val="0"/>
      <w:marTop w:val="0"/>
      <w:marBottom w:val="0"/>
      <w:divBdr>
        <w:top w:val="none" w:sz="0" w:space="0" w:color="auto"/>
        <w:left w:val="none" w:sz="0" w:space="0" w:color="auto"/>
        <w:bottom w:val="none" w:sz="0" w:space="0" w:color="auto"/>
        <w:right w:val="none" w:sz="0" w:space="0" w:color="auto"/>
      </w:divBdr>
    </w:div>
    <w:div w:id="2120449615">
      <w:bodyDiv w:val="1"/>
      <w:marLeft w:val="0"/>
      <w:marRight w:val="0"/>
      <w:marTop w:val="0"/>
      <w:marBottom w:val="0"/>
      <w:divBdr>
        <w:top w:val="none" w:sz="0" w:space="0" w:color="auto"/>
        <w:left w:val="none" w:sz="0" w:space="0" w:color="auto"/>
        <w:bottom w:val="none" w:sz="0" w:space="0" w:color="auto"/>
        <w:right w:val="none" w:sz="0" w:space="0" w:color="auto"/>
      </w:divBdr>
    </w:div>
    <w:div w:id="2123761023">
      <w:bodyDiv w:val="1"/>
      <w:marLeft w:val="0"/>
      <w:marRight w:val="0"/>
      <w:marTop w:val="0"/>
      <w:marBottom w:val="0"/>
      <w:divBdr>
        <w:top w:val="none" w:sz="0" w:space="0" w:color="auto"/>
        <w:left w:val="none" w:sz="0" w:space="0" w:color="auto"/>
        <w:bottom w:val="none" w:sz="0" w:space="0" w:color="auto"/>
        <w:right w:val="none" w:sz="0" w:space="0" w:color="auto"/>
      </w:divBdr>
    </w:div>
    <w:div w:id="2123958560">
      <w:bodyDiv w:val="1"/>
      <w:marLeft w:val="0"/>
      <w:marRight w:val="0"/>
      <w:marTop w:val="0"/>
      <w:marBottom w:val="0"/>
      <w:divBdr>
        <w:top w:val="none" w:sz="0" w:space="0" w:color="auto"/>
        <w:left w:val="none" w:sz="0" w:space="0" w:color="auto"/>
        <w:bottom w:val="none" w:sz="0" w:space="0" w:color="auto"/>
        <w:right w:val="none" w:sz="0" w:space="0" w:color="auto"/>
      </w:divBdr>
    </w:div>
    <w:div w:id="2125148885">
      <w:bodyDiv w:val="1"/>
      <w:marLeft w:val="0"/>
      <w:marRight w:val="0"/>
      <w:marTop w:val="0"/>
      <w:marBottom w:val="0"/>
      <w:divBdr>
        <w:top w:val="none" w:sz="0" w:space="0" w:color="auto"/>
        <w:left w:val="none" w:sz="0" w:space="0" w:color="auto"/>
        <w:bottom w:val="none" w:sz="0" w:space="0" w:color="auto"/>
        <w:right w:val="none" w:sz="0" w:space="0" w:color="auto"/>
      </w:divBdr>
    </w:div>
    <w:div w:id="2134127249">
      <w:bodyDiv w:val="1"/>
      <w:marLeft w:val="0"/>
      <w:marRight w:val="0"/>
      <w:marTop w:val="0"/>
      <w:marBottom w:val="0"/>
      <w:divBdr>
        <w:top w:val="none" w:sz="0" w:space="0" w:color="auto"/>
        <w:left w:val="none" w:sz="0" w:space="0" w:color="auto"/>
        <w:bottom w:val="none" w:sz="0" w:space="0" w:color="auto"/>
        <w:right w:val="none" w:sz="0" w:space="0" w:color="auto"/>
      </w:divBdr>
    </w:div>
    <w:div w:id="2138180132">
      <w:bodyDiv w:val="1"/>
      <w:marLeft w:val="0"/>
      <w:marRight w:val="0"/>
      <w:marTop w:val="0"/>
      <w:marBottom w:val="0"/>
      <w:divBdr>
        <w:top w:val="none" w:sz="0" w:space="0" w:color="auto"/>
        <w:left w:val="none" w:sz="0" w:space="0" w:color="auto"/>
        <w:bottom w:val="none" w:sz="0" w:space="0" w:color="auto"/>
        <w:right w:val="none" w:sz="0" w:space="0" w:color="auto"/>
      </w:divBdr>
    </w:div>
    <w:div w:id="2139451456">
      <w:bodyDiv w:val="1"/>
      <w:marLeft w:val="0"/>
      <w:marRight w:val="0"/>
      <w:marTop w:val="0"/>
      <w:marBottom w:val="0"/>
      <w:divBdr>
        <w:top w:val="none" w:sz="0" w:space="0" w:color="auto"/>
        <w:left w:val="none" w:sz="0" w:space="0" w:color="auto"/>
        <w:bottom w:val="none" w:sz="0" w:space="0" w:color="auto"/>
        <w:right w:val="none" w:sz="0" w:space="0" w:color="auto"/>
      </w:divBdr>
    </w:div>
    <w:div w:id="21465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ilioicecre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ilioicecream.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orin.gr/laws/law/3309/dpxa-1-prwth-efarmogh-twn-diethnwn-protypwn-xrhmatooikonomikhs-anafora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A7F2F-269A-4481-BC0F-2C35E6F0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53</Pages>
  <Words>15067</Words>
  <Characters>81366</Characters>
  <Application>Microsoft Office Word</Application>
  <DocSecurity>0</DocSecurity>
  <Lines>678</Lines>
  <Paragraphs>192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Ετήσιες Οικονομικές Καταστάσεις</vt:lpstr>
      <vt:lpstr>Ετήσιες Οικονομικές Καταστάσεις</vt:lpstr>
    </vt:vector>
  </TitlesOfParts>
  <Company>HOME</Company>
  <LinksUpToDate>false</LinksUpToDate>
  <CharactersWithSpaces>96241</CharactersWithSpaces>
  <SharedDoc>false</SharedDoc>
  <HLinks>
    <vt:vector size="258" baseType="variant">
      <vt:variant>
        <vt:i4>6160398</vt:i4>
      </vt:variant>
      <vt:variant>
        <vt:i4>351</vt:i4>
      </vt:variant>
      <vt:variant>
        <vt:i4>0</vt:i4>
      </vt:variant>
      <vt:variant>
        <vt:i4>5</vt:i4>
      </vt:variant>
      <vt:variant>
        <vt:lpwstr>http://www.pilioicecream.com/</vt:lpwstr>
      </vt:variant>
      <vt:variant>
        <vt:lpwstr/>
      </vt:variant>
      <vt:variant>
        <vt:i4>2424890</vt:i4>
      </vt:variant>
      <vt:variant>
        <vt:i4>264</vt:i4>
      </vt:variant>
      <vt:variant>
        <vt:i4>0</vt:i4>
      </vt:variant>
      <vt:variant>
        <vt:i4>5</vt:i4>
      </vt:variant>
      <vt:variant>
        <vt:lpwstr>https://www.forin.gr/laws/law/3309/dpxa-1-prwth-efarmogh-twn-diethnwn-protypwn-xrhmatooikonomikhs-anaforas</vt:lpwstr>
      </vt:variant>
      <vt:variant>
        <vt:lpwstr/>
      </vt:variant>
      <vt:variant>
        <vt:i4>3735603</vt:i4>
      </vt:variant>
      <vt:variant>
        <vt:i4>261</vt:i4>
      </vt:variant>
      <vt:variant>
        <vt:i4>0</vt:i4>
      </vt:variant>
      <vt:variant>
        <vt:i4>5</vt:i4>
      </vt:variant>
      <vt:variant>
        <vt:lpwstr>http://www.forin.gr/laws/law/3308/dpxa-2-Paroxes-pou-eksartwntai-apo-thn-aksia-twn-metoxwn</vt:lpwstr>
      </vt:variant>
      <vt:variant>
        <vt:lpwstr>!/?article=5&amp;bn=1</vt:lpwstr>
      </vt:variant>
      <vt:variant>
        <vt:i4>6160398</vt:i4>
      </vt:variant>
      <vt:variant>
        <vt:i4>258</vt:i4>
      </vt:variant>
      <vt:variant>
        <vt:i4>0</vt:i4>
      </vt:variant>
      <vt:variant>
        <vt:i4>5</vt:i4>
      </vt:variant>
      <vt:variant>
        <vt:lpwstr>http://www.pilioicecream.com/</vt:lpwstr>
      </vt:variant>
      <vt:variant>
        <vt:lpwstr/>
      </vt:variant>
      <vt:variant>
        <vt:i4>6160398</vt:i4>
      </vt:variant>
      <vt:variant>
        <vt:i4>231</vt:i4>
      </vt:variant>
      <vt:variant>
        <vt:i4>0</vt:i4>
      </vt:variant>
      <vt:variant>
        <vt:i4>5</vt:i4>
      </vt:variant>
      <vt:variant>
        <vt:lpwstr>http://www.pilioicecream.com/</vt:lpwstr>
      </vt:variant>
      <vt:variant>
        <vt:lpwstr/>
      </vt:variant>
      <vt:variant>
        <vt:i4>1835060</vt:i4>
      </vt:variant>
      <vt:variant>
        <vt:i4>224</vt:i4>
      </vt:variant>
      <vt:variant>
        <vt:i4>0</vt:i4>
      </vt:variant>
      <vt:variant>
        <vt:i4>5</vt:i4>
      </vt:variant>
      <vt:variant>
        <vt:lpwstr/>
      </vt:variant>
      <vt:variant>
        <vt:lpwstr>_Toc494447012</vt:lpwstr>
      </vt:variant>
      <vt:variant>
        <vt:i4>1835060</vt:i4>
      </vt:variant>
      <vt:variant>
        <vt:i4>218</vt:i4>
      </vt:variant>
      <vt:variant>
        <vt:i4>0</vt:i4>
      </vt:variant>
      <vt:variant>
        <vt:i4>5</vt:i4>
      </vt:variant>
      <vt:variant>
        <vt:lpwstr/>
      </vt:variant>
      <vt:variant>
        <vt:lpwstr>_Toc494447011</vt:lpwstr>
      </vt:variant>
      <vt:variant>
        <vt:i4>1835060</vt:i4>
      </vt:variant>
      <vt:variant>
        <vt:i4>212</vt:i4>
      </vt:variant>
      <vt:variant>
        <vt:i4>0</vt:i4>
      </vt:variant>
      <vt:variant>
        <vt:i4>5</vt:i4>
      </vt:variant>
      <vt:variant>
        <vt:lpwstr/>
      </vt:variant>
      <vt:variant>
        <vt:lpwstr>_Toc494447010</vt:lpwstr>
      </vt:variant>
      <vt:variant>
        <vt:i4>1900596</vt:i4>
      </vt:variant>
      <vt:variant>
        <vt:i4>206</vt:i4>
      </vt:variant>
      <vt:variant>
        <vt:i4>0</vt:i4>
      </vt:variant>
      <vt:variant>
        <vt:i4>5</vt:i4>
      </vt:variant>
      <vt:variant>
        <vt:lpwstr/>
      </vt:variant>
      <vt:variant>
        <vt:lpwstr>_Toc494447009</vt:lpwstr>
      </vt:variant>
      <vt:variant>
        <vt:i4>1900596</vt:i4>
      </vt:variant>
      <vt:variant>
        <vt:i4>200</vt:i4>
      </vt:variant>
      <vt:variant>
        <vt:i4>0</vt:i4>
      </vt:variant>
      <vt:variant>
        <vt:i4>5</vt:i4>
      </vt:variant>
      <vt:variant>
        <vt:lpwstr/>
      </vt:variant>
      <vt:variant>
        <vt:lpwstr>_Toc494447008</vt:lpwstr>
      </vt:variant>
      <vt:variant>
        <vt:i4>1900596</vt:i4>
      </vt:variant>
      <vt:variant>
        <vt:i4>194</vt:i4>
      </vt:variant>
      <vt:variant>
        <vt:i4>0</vt:i4>
      </vt:variant>
      <vt:variant>
        <vt:i4>5</vt:i4>
      </vt:variant>
      <vt:variant>
        <vt:lpwstr/>
      </vt:variant>
      <vt:variant>
        <vt:lpwstr>_Toc494447007</vt:lpwstr>
      </vt:variant>
      <vt:variant>
        <vt:i4>1900596</vt:i4>
      </vt:variant>
      <vt:variant>
        <vt:i4>188</vt:i4>
      </vt:variant>
      <vt:variant>
        <vt:i4>0</vt:i4>
      </vt:variant>
      <vt:variant>
        <vt:i4>5</vt:i4>
      </vt:variant>
      <vt:variant>
        <vt:lpwstr/>
      </vt:variant>
      <vt:variant>
        <vt:lpwstr>_Toc494447006</vt:lpwstr>
      </vt:variant>
      <vt:variant>
        <vt:i4>1900596</vt:i4>
      </vt:variant>
      <vt:variant>
        <vt:i4>182</vt:i4>
      </vt:variant>
      <vt:variant>
        <vt:i4>0</vt:i4>
      </vt:variant>
      <vt:variant>
        <vt:i4>5</vt:i4>
      </vt:variant>
      <vt:variant>
        <vt:lpwstr/>
      </vt:variant>
      <vt:variant>
        <vt:lpwstr>_Toc494447005</vt:lpwstr>
      </vt:variant>
      <vt:variant>
        <vt:i4>1900596</vt:i4>
      </vt:variant>
      <vt:variant>
        <vt:i4>176</vt:i4>
      </vt:variant>
      <vt:variant>
        <vt:i4>0</vt:i4>
      </vt:variant>
      <vt:variant>
        <vt:i4>5</vt:i4>
      </vt:variant>
      <vt:variant>
        <vt:lpwstr/>
      </vt:variant>
      <vt:variant>
        <vt:lpwstr>_Toc494447004</vt:lpwstr>
      </vt:variant>
      <vt:variant>
        <vt:i4>1900596</vt:i4>
      </vt:variant>
      <vt:variant>
        <vt:i4>170</vt:i4>
      </vt:variant>
      <vt:variant>
        <vt:i4>0</vt:i4>
      </vt:variant>
      <vt:variant>
        <vt:i4>5</vt:i4>
      </vt:variant>
      <vt:variant>
        <vt:lpwstr/>
      </vt:variant>
      <vt:variant>
        <vt:lpwstr>_Toc494447003</vt:lpwstr>
      </vt:variant>
      <vt:variant>
        <vt:i4>1900596</vt:i4>
      </vt:variant>
      <vt:variant>
        <vt:i4>164</vt:i4>
      </vt:variant>
      <vt:variant>
        <vt:i4>0</vt:i4>
      </vt:variant>
      <vt:variant>
        <vt:i4>5</vt:i4>
      </vt:variant>
      <vt:variant>
        <vt:lpwstr/>
      </vt:variant>
      <vt:variant>
        <vt:lpwstr>_Toc494447002</vt:lpwstr>
      </vt:variant>
      <vt:variant>
        <vt:i4>1900596</vt:i4>
      </vt:variant>
      <vt:variant>
        <vt:i4>158</vt:i4>
      </vt:variant>
      <vt:variant>
        <vt:i4>0</vt:i4>
      </vt:variant>
      <vt:variant>
        <vt:i4>5</vt:i4>
      </vt:variant>
      <vt:variant>
        <vt:lpwstr/>
      </vt:variant>
      <vt:variant>
        <vt:lpwstr>_Toc494447001</vt:lpwstr>
      </vt:variant>
      <vt:variant>
        <vt:i4>1900596</vt:i4>
      </vt:variant>
      <vt:variant>
        <vt:i4>152</vt:i4>
      </vt:variant>
      <vt:variant>
        <vt:i4>0</vt:i4>
      </vt:variant>
      <vt:variant>
        <vt:i4>5</vt:i4>
      </vt:variant>
      <vt:variant>
        <vt:lpwstr/>
      </vt:variant>
      <vt:variant>
        <vt:lpwstr>_Toc494447000</vt:lpwstr>
      </vt:variant>
      <vt:variant>
        <vt:i4>1376317</vt:i4>
      </vt:variant>
      <vt:variant>
        <vt:i4>146</vt:i4>
      </vt:variant>
      <vt:variant>
        <vt:i4>0</vt:i4>
      </vt:variant>
      <vt:variant>
        <vt:i4>5</vt:i4>
      </vt:variant>
      <vt:variant>
        <vt:lpwstr/>
      </vt:variant>
      <vt:variant>
        <vt:lpwstr>_Toc494446999</vt:lpwstr>
      </vt:variant>
      <vt:variant>
        <vt:i4>1376317</vt:i4>
      </vt:variant>
      <vt:variant>
        <vt:i4>140</vt:i4>
      </vt:variant>
      <vt:variant>
        <vt:i4>0</vt:i4>
      </vt:variant>
      <vt:variant>
        <vt:i4>5</vt:i4>
      </vt:variant>
      <vt:variant>
        <vt:lpwstr/>
      </vt:variant>
      <vt:variant>
        <vt:lpwstr>_Toc494446998</vt:lpwstr>
      </vt:variant>
      <vt:variant>
        <vt:i4>1376317</vt:i4>
      </vt:variant>
      <vt:variant>
        <vt:i4>134</vt:i4>
      </vt:variant>
      <vt:variant>
        <vt:i4>0</vt:i4>
      </vt:variant>
      <vt:variant>
        <vt:i4>5</vt:i4>
      </vt:variant>
      <vt:variant>
        <vt:lpwstr/>
      </vt:variant>
      <vt:variant>
        <vt:lpwstr>_Toc494446997</vt:lpwstr>
      </vt:variant>
      <vt:variant>
        <vt:i4>1376317</vt:i4>
      </vt:variant>
      <vt:variant>
        <vt:i4>128</vt:i4>
      </vt:variant>
      <vt:variant>
        <vt:i4>0</vt:i4>
      </vt:variant>
      <vt:variant>
        <vt:i4>5</vt:i4>
      </vt:variant>
      <vt:variant>
        <vt:lpwstr/>
      </vt:variant>
      <vt:variant>
        <vt:lpwstr>_Toc494446996</vt:lpwstr>
      </vt:variant>
      <vt:variant>
        <vt:i4>1376317</vt:i4>
      </vt:variant>
      <vt:variant>
        <vt:i4>122</vt:i4>
      </vt:variant>
      <vt:variant>
        <vt:i4>0</vt:i4>
      </vt:variant>
      <vt:variant>
        <vt:i4>5</vt:i4>
      </vt:variant>
      <vt:variant>
        <vt:lpwstr/>
      </vt:variant>
      <vt:variant>
        <vt:lpwstr>_Toc494446995</vt:lpwstr>
      </vt:variant>
      <vt:variant>
        <vt:i4>1376317</vt:i4>
      </vt:variant>
      <vt:variant>
        <vt:i4>116</vt:i4>
      </vt:variant>
      <vt:variant>
        <vt:i4>0</vt:i4>
      </vt:variant>
      <vt:variant>
        <vt:i4>5</vt:i4>
      </vt:variant>
      <vt:variant>
        <vt:lpwstr/>
      </vt:variant>
      <vt:variant>
        <vt:lpwstr>_Toc494446994</vt:lpwstr>
      </vt:variant>
      <vt:variant>
        <vt:i4>1376317</vt:i4>
      </vt:variant>
      <vt:variant>
        <vt:i4>110</vt:i4>
      </vt:variant>
      <vt:variant>
        <vt:i4>0</vt:i4>
      </vt:variant>
      <vt:variant>
        <vt:i4>5</vt:i4>
      </vt:variant>
      <vt:variant>
        <vt:lpwstr/>
      </vt:variant>
      <vt:variant>
        <vt:lpwstr>_Toc494446993</vt:lpwstr>
      </vt:variant>
      <vt:variant>
        <vt:i4>1376317</vt:i4>
      </vt:variant>
      <vt:variant>
        <vt:i4>104</vt:i4>
      </vt:variant>
      <vt:variant>
        <vt:i4>0</vt:i4>
      </vt:variant>
      <vt:variant>
        <vt:i4>5</vt:i4>
      </vt:variant>
      <vt:variant>
        <vt:lpwstr/>
      </vt:variant>
      <vt:variant>
        <vt:lpwstr>_Toc494446992</vt:lpwstr>
      </vt:variant>
      <vt:variant>
        <vt:i4>1376317</vt:i4>
      </vt:variant>
      <vt:variant>
        <vt:i4>98</vt:i4>
      </vt:variant>
      <vt:variant>
        <vt:i4>0</vt:i4>
      </vt:variant>
      <vt:variant>
        <vt:i4>5</vt:i4>
      </vt:variant>
      <vt:variant>
        <vt:lpwstr/>
      </vt:variant>
      <vt:variant>
        <vt:lpwstr>_Toc494446991</vt:lpwstr>
      </vt:variant>
      <vt:variant>
        <vt:i4>1376317</vt:i4>
      </vt:variant>
      <vt:variant>
        <vt:i4>92</vt:i4>
      </vt:variant>
      <vt:variant>
        <vt:i4>0</vt:i4>
      </vt:variant>
      <vt:variant>
        <vt:i4>5</vt:i4>
      </vt:variant>
      <vt:variant>
        <vt:lpwstr/>
      </vt:variant>
      <vt:variant>
        <vt:lpwstr>_Toc494446990</vt:lpwstr>
      </vt:variant>
      <vt:variant>
        <vt:i4>1310781</vt:i4>
      </vt:variant>
      <vt:variant>
        <vt:i4>86</vt:i4>
      </vt:variant>
      <vt:variant>
        <vt:i4>0</vt:i4>
      </vt:variant>
      <vt:variant>
        <vt:i4>5</vt:i4>
      </vt:variant>
      <vt:variant>
        <vt:lpwstr/>
      </vt:variant>
      <vt:variant>
        <vt:lpwstr>_Toc494446989</vt:lpwstr>
      </vt:variant>
      <vt:variant>
        <vt:i4>1310781</vt:i4>
      </vt:variant>
      <vt:variant>
        <vt:i4>80</vt:i4>
      </vt:variant>
      <vt:variant>
        <vt:i4>0</vt:i4>
      </vt:variant>
      <vt:variant>
        <vt:i4>5</vt:i4>
      </vt:variant>
      <vt:variant>
        <vt:lpwstr/>
      </vt:variant>
      <vt:variant>
        <vt:lpwstr>_Toc494446988</vt:lpwstr>
      </vt:variant>
      <vt:variant>
        <vt:i4>1310781</vt:i4>
      </vt:variant>
      <vt:variant>
        <vt:i4>74</vt:i4>
      </vt:variant>
      <vt:variant>
        <vt:i4>0</vt:i4>
      </vt:variant>
      <vt:variant>
        <vt:i4>5</vt:i4>
      </vt:variant>
      <vt:variant>
        <vt:lpwstr/>
      </vt:variant>
      <vt:variant>
        <vt:lpwstr>_Toc494446987</vt:lpwstr>
      </vt:variant>
      <vt:variant>
        <vt:i4>1310781</vt:i4>
      </vt:variant>
      <vt:variant>
        <vt:i4>68</vt:i4>
      </vt:variant>
      <vt:variant>
        <vt:i4>0</vt:i4>
      </vt:variant>
      <vt:variant>
        <vt:i4>5</vt:i4>
      </vt:variant>
      <vt:variant>
        <vt:lpwstr/>
      </vt:variant>
      <vt:variant>
        <vt:lpwstr>_Toc494446986</vt:lpwstr>
      </vt:variant>
      <vt:variant>
        <vt:i4>1310781</vt:i4>
      </vt:variant>
      <vt:variant>
        <vt:i4>62</vt:i4>
      </vt:variant>
      <vt:variant>
        <vt:i4>0</vt:i4>
      </vt:variant>
      <vt:variant>
        <vt:i4>5</vt:i4>
      </vt:variant>
      <vt:variant>
        <vt:lpwstr/>
      </vt:variant>
      <vt:variant>
        <vt:lpwstr>_Toc494446985</vt:lpwstr>
      </vt:variant>
      <vt:variant>
        <vt:i4>1310781</vt:i4>
      </vt:variant>
      <vt:variant>
        <vt:i4>56</vt:i4>
      </vt:variant>
      <vt:variant>
        <vt:i4>0</vt:i4>
      </vt:variant>
      <vt:variant>
        <vt:i4>5</vt:i4>
      </vt:variant>
      <vt:variant>
        <vt:lpwstr/>
      </vt:variant>
      <vt:variant>
        <vt:lpwstr>_Toc494446984</vt:lpwstr>
      </vt:variant>
      <vt:variant>
        <vt:i4>1310781</vt:i4>
      </vt:variant>
      <vt:variant>
        <vt:i4>50</vt:i4>
      </vt:variant>
      <vt:variant>
        <vt:i4>0</vt:i4>
      </vt:variant>
      <vt:variant>
        <vt:i4>5</vt:i4>
      </vt:variant>
      <vt:variant>
        <vt:lpwstr/>
      </vt:variant>
      <vt:variant>
        <vt:lpwstr>_Toc494446983</vt:lpwstr>
      </vt:variant>
      <vt:variant>
        <vt:i4>1310781</vt:i4>
      </vt:variant>
      <vt:variant>
        <vt:i4>44</vt:i4>
      </vt:variant>
      <vt:variant>
        <vt:i4>0</vt:i4>
      </vt:variant>
      <vt:variant>
        <vt:i4>5</vt:i4>
      </vt:variant>
      <vt:variant>
        <vt:lpwstr/>
      </vt:variant>
      <vt:variant>
        <vt:lpwstr>_Toc494446982</vt:lpwstr>
      </vt:variant>
      <vt:variant>
        <vt:i4>1310781</vt:i4>
      </vt:variant>
      <vt:variant>
        <vt:i4>38</vt:i4>
      </vt:variant>
      <vt:variant>
        <vt:i4>0</vt:i4>
      </vt:variant>
      <vt:variant>
        <vt:i4>5</vt:i4>
      </vt:variant>
      <vt:variant>
        <vt:lpwstr/>
      </vt:variant>
      <vt:variant>
        <vt:lpwstr>_Toc494446981</vt:lpwstr>
      </vt:variant>
      <vt:variant>
        <vt:i4>1310781</vt:i4>
      </vt:variant>
      <vt:variant>
        <vt:i4>32</vt:i4>
      </vt:variant>
      <vt:variant>
        <vt:i4>0</vt:i4>
      </vt:variant>
      <vt:variant>
        <vt:i4>5</vt:i4>
      </vt:variant>
      <vt:variant>
        <vt:lpwstr/>
      </vt:variant>
      <vt:variant>
        <vt:lpwstr>_Toc494446980</vt:lpwstr>
      </vt:variant>
      <vt:variant>
        <vt:i4>1769533</vt:i4>
      </vt:variant>
      <vt:variant>
        <vt:i4>26</vt:i4>
      </vt:variant>
      <vt:variant>
        <vt:i4>0</vt:i4>
      </vt:variant>
      <vt:variant>
        <vt:i4>5</vt:i4>
      </vt:variant>
      <vt:variant>
        <vt:lpwstr/>
      </vt:variant>
      <vt:variant>
        <vt:lpwstr>_Toc494446979</vt:lpwstr>
      </vt:variant>
      <vt:variant>
        <vt:i4>1769533</vt:i4>
      </vt:variant>
      <vt:variant>
        <vt:i4>20</vt:i4>
      </vt:variant>
      <vt:variant>
        <vt:i4>0</vt:i4>
      </vt:variant>
      <vt:variant>
        <vt:i4>5</vt:i4>
      </vt:variant>
      <vt:variant>
        <vt:lpwstr/>
      </vt:variant>
      <vt:variant>
        <vt:lpwstr>_Toc494446978</vt:lpwstr>
      </vt:variant>
      <vt:variant>
        <vt:i4>1769533</vt:i4>
      </vt:variant>
      <vt:variant>
        <vt:i4>14</vt:i4>
      </vt:variant>
      <vt:variant>
        <vt:i4>0</vt:i4>
      </vt:variant>
      <vt:variant>
        <vt:i4>5</vt:i4>
      </vt:variant>
      <vt:variant>
        <vt:lpwstr/>
      </vt:variant>
      <vt:variant>
        <vt:lpwstr>_Toc494446977</vt:lpwstr>
      </vt:variant>
      <vt:variant>
        <vt:i4>1769533</vt:i4>
      </vt:variant>
      <vt:variant>
        <vt:i4>8</vt:i4>
      </vt:variant>
      <vt:variant>
        <vt:i4>0</vt:i4>
      </vt:variant>
      <vt:variant>
        <vt:i4>5</vt:i4>
      </vt:variant>
      <vt:variant>
        <vt:lpwstr/>
      </vt:variant>
      <vt:variant>
        <vt:lpwstr>_Toc494446976</vt:lpwstr>
      </vt:variant>
      <vt:variant>
        <vt:i4>1769533</vt:i4>
      </vt:variant>
      <vt:variant>
        <vt:i4>2</vt:i4>
      </vt:variant>
      <vt:variant>
        <vt:i4>0</vt:i4>
      </vt:variant>
      <vt:variant>
        <vt:i4>5</vt:i4>
      </vt:variant>
      <vt:variant>
        <vt:lpwstr/>
      </vt:variant>
      <vt:variant>
        <vt:lpwstr>_Toc494446975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Ετήσιες Οικονομικές Καταστάσεις</dc:title>
  <dc:subject/>
  <dc:creator>SOL.CONSULTING</dc:creator>
  <cp:keywords/>
  <cp:lastModifiedBy>Despina Bampanelou</cp:lastModifiedBy>
  <cp:revision>32</cp:revision>
  <cp:lastPrinted>2018-10-01T09:36:00Z</cp:lastPrinted>
  <dcterms:created xsi:type="dcterms:W3CDTF">2018-10-02T13:15:00Z</dcterms:created>
  <dcterms:modified xsi:type="dcterms:W3CDTF">2019-10-04T13:08:00Z</dcterms:modified>
</cp:coreProperties>
</file>